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56B" w:rsidRDefault="002537E3">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56B" w:rsidRDefault="0093056B">
                            <w:pPr>
                              <w:rPr>
                                <w:b/>
                              </w:rPr>
                            </w:pPr>
                            <w:r>
                              <w:rPr>
                                <w:b/>
                                <w:bCs/>
                              </w:rPr>
                              <w:t>projektas</w:t>
                            </w:r>
                          </w:p>
                          <w:p w:rsidR="0093056B" w:rsidRDefault="0093056B">
                            <w:pPr>
                              <w:rPr>
                                <w:b/>
                              </w:rPr>
                            </w:pPr>
                            <w:proofErr w:type="spellStart"/>
                            <w:r>
                              <w:rPr>
                                <w:b/>
                                <w:bCs/>
                              </w:rPr>
                              <w:t>reg</w:t>
                            </w:r>
                            <w:proofErr w:type="spellEnd"/>
                            <w:r>
                              <w:rPr>
                                <w:b/>
                                <w:bCs/>
                              </w:rPr>
                              <w:t>. Nr. T</w:t>
                            </w:r>
                            <w:r>
                              <w:rPr>
                                <w:b/>
                              </w:rPr>
                              <w:t>-</w:t>
                            </w:r>
                            <w:r w:rsidR="002537E3">
                              <w:rPr>
                                <w:b/>
                              </w:rPr>
                              <w:t>87</w:t>
                            </w:r>
                          </w:p>
                          <w:p w:rsidR="0093056B" w:rsidRDefault="0093056B">
                            <w:pPr>
                              <w:rPr>
                                <w:b/>
                              </w:rPr>
                            </w:pPr>
                            <w:r>
                              <w:rPr>
                                <w:b/>
                              </w:rPr>
                              <w:t xml:space="preserve"> </w:t>
                            </w:r>
                            <w:r w:rsidR="00EB7B91">
                              <w:rPr>
                                <w:b/>
                              </w:rPr>
                              <w:t xml:space="preserve">2.   </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93056B" w:rsidRDefault="0093056B">
                      <w:pPr>
                        <w:rPr>
                          <w:b/>
                        </w:rPr>
                      </w:pPr>
                      <w:r>
                        <w:rPr>
                          <w:b/>
                          <w:bCs/>
                        </w:rPr>
                        <w:t>projektas</w:t>
                      </w:r>
                    </w:p>
                    <w:p w:rsidR="0093056B" w:rsidRDefault="0093056B">
                      <w:pPr>
                        <w:rPr>
                          <w:b/>
                        </w:rPr>
                      </w:pPr>
                      <w:proofErr w:type="spellStart"/>
                      <w:r>
                        <w:rPr>
                          <w:b/>
                          <w:bCs/>
                        </w:rPr>
                        <w:t>reg</w:t>
                      </w:r>
                      <w:proofErr w:type="spellEnd"/>
                      <w:r>
                        <w:rPr>
                          <w:b/>
                          <w:bCs/>
                        </w:rPr>
                        <w:t>. Nr. T</w:t>
                      </w:r>
                      <w:r>
                        <w:rPr>
                          <w:b/>
                        </w:rPr>
                        <w:t>-</w:t>
                      </w:r>
                      <w:r w:rsidR="002537E3">
                        <w:rPr>
                          <w:b/>
                        </w:rPr>
                        <w:t>87</w:t>
                      </w:r>
                    </w:p>
                    <w:p w:rsidR="0093056B" w:rsidRDefault="0093056B">
                      <w:pPr>
                        <w:rPr>
                          <w:b/>
                        </w:rPr>
                      </w:pPr>
                      <w:r>
                        <w:rPr>
                          <w:b/>
                        </w:rPr>
                        <w:t xml:space="preserve"> </w:t>
                      </w:r>
                      <w:r w:rsidR="00EB7B91">
                        <w:rPr>
                          <w:b/>
                        </w:rPr>
                        <w:t xml:space="preserve">2.   </w:t>
                      </w:r>
                      <w:bookmarkStart w:id="1" w:name="_GoBack"/>
                      <w:bookmarkEnd w:id="1"/>
                      <w:r>
                        <w:rPr>
                          <w:b/>
                        </w:rPr>
                        <w:t>darbotvarkės klausimas</w:t>
                      </w:r>
                    </w:p>
                  </w:txbxContent>
                </v:textbox>
              </v:shape>
            </w:pict>
          </mc:Fallback>
        </mc:AlternateContent>
      </w:r>
    </w:p>
    <w:p w:rsidR="0093056B" w:rsidRDefault="0093056B">
      <w:pPr>
        <w:pStyle w:val="Antrats"/>
        <w:jc w:val="center"/>
        <w:rPr>
          <w:b/>
          <w:bCs/>
          <w:caps/>
          <w:sz w:val="26"/>
        </w:rPr>
      </w:pPr>
      <w:bookmarkStart w:id="2" w:name="Institucija"/>
      <w:r>
        <w:rPr>
          <w:b/>
          <w:bCs/>
          <w:caps/>
          <w:sz w:val="26"/>
        </w:rPr>
        <w:t>Pasvalio rajono savivaldybės taryba</w:t>
      </w:r>
      <w:bookmarkEnd w:id="2"/>
    </w:p>
    <w:p w:rsidR="0093056B" w:rsidRDefault="0093056B"/>
    <w:p w:rsidR="0093056B" w:rsidRPr="00DD28DA" w:rsidRDefault="0093056B">
      <w:pPr>
        <w:pStyle w:val="Antrat1"/>
        <w:rPr>
          <w:rFonts w:ascii="Times New Roman" w:hAnsi="Times New Roman"/>
          <w:bCs w:val="0"/>
          <w:caps/>
          <w:kern w:val="0"/>
          <w:sz w:val="24"/>
          <w:szCs w:val="20"/>
          <w:lang w:val="lt-LT"/>
        </w:rPr>
      </w:pPr>
      <w:r w:rsidRPr="00DD28DA">
        <w:rPr>
          <w:rFonts w:ascii="Times New Roman" w:hAnsi="Times New Roman"/>
          <w:bCs w:val="0"/>
          <w:caps/>
          <w:kern w:val="0"/>
          <w:sz w:val="24"/>
          <w:szCs w:val="20"/>
          <w:lang w:val="lt-LT"/>
        </w:rPr>
        <w:t>sprendimas</w:t>
      </w:r>
    </w:p>
    <w:p w:rsidR="0093056B" w:rsidRDefault="0093056B">
      <w:pPr>
        <w:jc w:val="center"/>
        <w:rPr>
          <w:b/>
          <w:bCs/>
          <w:caps/>
        </w:rPr>
      </w:pPr>
      <w:r>
        <w:rPr>
          <w:b/>
          <w:bCs/>
          <w:caps/>
        </w:rPr>
        <w:t xml:space="preserve">Dėl </w:t>
      </w:r>
      <w:r>
        <w:rPr>
          <w:b/>
          <w:caps/>
        </w:rPr>
        <w:t xml:space="preserve">viešosios įstaigos Pasvalio ligoninės vadovo mėnesinės algos kintamosios dalies dydžio nustatymo </w:t>
      </w:r>
      <w:r>
        <w:rPr>
          <w:rStyle w:val="antr"/>
        </w:rPr>
        <w:t xml:space="preserve"> </w:t>
      </w:r>
    </w:p>
    <w:p w:rsidR="0093056B" w:rsidRDefault="0093056B">
      <w:pPr>
        <w:jc w:val="center"/>
        <w:rPr>
          <w:b/>
          <w:bCs/>
          <w:caps/>
        </w:rPr>
      </w:pPr>
    </w:p>
    <w:p w:rsidR="0093056B" w:rsidRDefault="0093056B">
      <w:pPr>
        <w:jc w:val="center"/>
      </w:pPr>
      <w:r>
        <w:t>201</w:t>
      </w:r>
      <w:r w:rsidR="00CC1010">
        <w:t>9</w:t>
      </w:r>
      <w:r>
        <w:t xml:space="preserve"> m. </w:t>
      </w:r>
      <w:r w:rsidR="007A323A" w:rsidRPr="00215694">
        <w:t>balandžio</w:t>
      </w:r>
      <w:r>
        <w:t xml:space="preserve">     d.</w:t>
      </w:r>
      <w:r>
        <w:tab/>
        <w:t>Nr. T1-</w:t>
      </w:r>
    </w:p>
    <w:p w:rsidR="0093056B" w:rsidRDefault="0093056B">
      <w:pPr>
        <w:jc w:val="center"/>
      </w:pPr>
      <w:r>
        <w:t>Pasvalys</w:t>
      </w:r>
    </w:p>
    <w:p w:rsidR="0093056B" w:rsidRDefault="0093056B">
      <w:pPr>
        <w:pStyle w:val="Antrats"/>
        <w:tabs>
          <w:tab w:val="clear" w:pos="4153"/>
          <w:tab w:val="clear" w:pos="8306"/>
        </w:tabs>
      </w:pPr>
    </w:p>
    <w:p w:rsidR="0093056B" w:rsidRDefault="0093056B">
      <w:pPr>
        <w:pStyle w:val="Antrats"/>
        <w:tabs>
          <w:tab w:val="clear" w:pos="4153"/>
          <w:tab w:val="clear" w:pos="8306"/>
        </w:tabs>
        <w:sectPr w:rsidR="0093056B">
          <w:headerReference w:type="first" r:id="rId8"/>
          <w:pgSz w:w="11906" w:h="16838" w:code="9"/>
          <w:pgMar w:top="1134" w:right="567" w:bottom="1134" w:left="1701" w:header="964" w:footer="567" w:gutter="0"/>
          <w:cols w:space="1296"/>
          <w:titlePg/>
        </w:sectPr>
      </w:pPr>
    </w:p>
    <w:p w:rsidR="0093056B" w:rsidRDefault="0093056B">
      <w:pPr>
        <w:pStyle w:val="Antrats"/>
        <w:tabs>
          <w:tab w:val="clear" w:pos="4153"/>
          <w:tab w:val="clear" w:pos="8306"/>
        </w:tabs>
        <w:ind w:firstLine="709"/>
        <w:jc w:val="both"/>
        <w:rPr>
          <w:spacing w:val="30"/>
          <w:szCs w:val="24"/>
        </w:rPr>
      </w:pPr>
      <w:r>
        <w:t xml:space="preserve">Vadovaudamasi Lietuvos Respublikos vietos savivaldos įstatymo 16 straipsnio </w:t>
      </w:r>
      <w:r w:rsidR="007A323A">
        <w:t>4 dalimi</w:t>
      </w:r>
      <w:r>
        <w:t xml:space="preserve">, </w:t>
      </w:r>
      <w:r w:rsidR="00C544C2">
        <w:rPr>
          <w:szCs w:val="24"/>
        </w:rPr>
        <w:t>Lietuvos Respublikos sveikatos priežiūros įstaigų įstatymo 15</w:t>
      </w:r>
      <w:r w:rsidR="00C544C2">
        <w:rPr>
          <w:szCs w:val="24"/>
          <w:vertAlign w:val="superscript"/>
        </w:rPr>
        <w:t xml:space="preserve">1 </w:t>
      </w:r>
      <w:r w:rsidR="00C544C2">
        <w:rPr>
          <w:szCs w:val="24"/>
        </w:rPr>
        <w:t>straipsnio 1 ir 6 dalimis, 15</w:t>
      </w:r>
      <w:r w:rsidR="00C544C2" w:rsidRPr="009935A2">
        <w:rPr>
          <w:szCs w:val="24"/>
          <w:vertAlign w:val="superscript"/>
        </w:rPr>
        <w:t xml:space="preserve">2 </w:t>
      </w:r>
      <w:r w:rsidR="00C544C2">
        <w:rPr>
          <w:color w:val="000000"/>
        </w:rPr>
        <w:t xml:space="preserve">straipsniu, Lietuvos nacionalinės sveikatos sistemos viešųjų įstaigų vadovų ir jų pavaduotojų mėnesinės algos kintamosios dalies dydžio nustatymo tvarkos aprašu, </w:t>
      </w:r>
      <w:r w:rsidR="00C544C2">
        <w:rPr>
          <w:szCs w:val="24"/>
        </w:rPr>
        <w:t xml:space="preserve">patvirtintu </w:t>
      </w:r>
      <w:bookmarkStart w:id="3" w:name="_Hlk2927750"/>
      <w:r w:rsidR="00C544C2">
        <w:rPr>
          <w:szCs w:val="24"/>
        </w:rPr>
        <w:t xml:space="preserve">Lietuvos Respublikos sveikatos apsaugos ministro </w:t>
      </w:r>
      <w:r w:rsidR="00192D80">
        <w:rPr>
          <w:szCs w:val="24"/>
        </w:rPr>
        <w:t xml:space="preserve">2019 m. kovo 25 d. įsakymu Nr. V-361 </w:t>
      </w:r>
      <w:bookmarkEnd w:id="3"/>
      <w:r w:rsidR="00C544C2">
        <w:rPr>
          <w:szCs w:val="24"/>
        </w:rPr>
        <w:t xml:space="preserve">„Dėl </w:t>
      </w:r>
      <w:r w:rsidR="00C544C2">
        <w:rPr>
          <w:color w:val="000000"/>
        </w:rPr>
        <w:t>Lietuvos nacionalinės sveikatos sistemos viešųjų įstaigų vadovų ir jų pavaduotojų mėnesinės algos kintamosios dalies dydžio nustatymo tvarkos aprašo patvirtinimo“</w:t>
      </w:r>
      <w:r w:rsidR="00C544C2">
        <w:rPr>
          <w:szCs w:val="24"/>
        </w:rPr>
        <w:t xml:space="preserve">, </w:t>
      </w:r>
      <w:bookmarkStart w:id="4" w:name="_Hlk2930275"/>
      <w:r w:rsidR="00C544C2">
        <w:rPr>
          <w:szCs w:val="24"/>
        </w:rPr>
        <w:t xml:space="preserve">atsižvelgdama į </w:t>
      </w:r>
      <w:r w:rsidR="00C544C2">
        <w:rPr>
          <w:color w:val="000000"/>
          <w:szCs w:val="24"/>
          <w:lang w:eastAsia="lt-LT"/>
        </w:rPr>
        <w:t>L</w:t>
      </w:r>
      <w:r w:rsidR="00C544C2">
        <w:rPr>
          <w:bCs/>
          <w:color w:val="000000"/>
          <w:szCs w:val="24"/>
        </w:rPr>
        <w:t xml:space="preserve">ietuvos nacionalinės sveikatos sistemos viešųjų ir biudžetinių įstaigų, teikiančių asmens sveikatos priežiūros paslaugas, veiklos rezultatų vertinimo rodiklių 2018 metų siektinu reikšmių, patvirtintų </w:t>
      </w:r>
      <w:r w:rsidR="00C544C2">
        <w:rPr>
          <w:szCs w:val="24"/>
        </w:rPr>
        <w:t xml:space="preserve">Lietuvos Respublikos sveikatos apsaugos ministro 2018 m. gegužės 9 d. įsakymu Nr. V-554 </w:t>
      </w:r>
      <w:bookmarkEnd w:id="4"/>
      <w:r w:rsidR="00C544C2">
        <w:rPr>
          <w:szCs w:val="24"/>
        </w:rPr>
        <w:t xml:space="preserve">„Dėl  </w:t>
      </w:r>
      <w:bookmarkStart w:id="5" w:name="_Hlk2931572"/>
      <w:r w:rsidR="00C544C2">
        <w:rPr>
          <w:color w:val="000000"/>
          <w:szCs w:val="24"/>
          <w:lang w:eastAsia="lt-LT"/>
        </w:rPr>
        <w:t>L</w:t>
      </w:r>
      <w:r w:rsidR="00C544C2">
        <w:rPr>
          <w:bCs/>
          <w:color w:val="000000"/>
          <w:szCs w:val="24"/>
        </w:rPr>
        <w:t>ietuvos nacionalinės sveikatos sistemos viešųjų ir biudžetinių įstaigų, teikiančių asmens sveikatos priežiūros paslaugas, veiklos rezultatų vertinimo rodiklių 2018 metų siektinų reikšmių</w:t>
      </w:r>
      <w:r w:rsidR="00C544C2">
        <w:rPr>
          <w:szCs w:val="24"/>
        </w:rPr>
        <w:t xml:space="preserve"> </w:t>
      </w:r>
      <w:bookmarkEnd w:id="5"/>
      <w:r w:rsidR="00C544C2">
        <w:rPr>
          <w:szCs w:val="24"/>
        </w:rPr>
        <w:t xml:space="preserve">patvirtinimo“ </w:t>
      </w:r>
      <w:r w:rsidR="004570C4">
        <w:rPr>
          <w:szCs w:val="24"/>
        </w:rPr>
        <w:t xml:space="preserve">(su visais aktualiais pakeitimais), </w:t>
      </w:r>
      <w:r w:rsidR="00393039">
        <w:rPr>
          <w:szCs w:val="24"/>
        </w:rPr>
        <w:t xml:space="preserve">ir </w:t>
      </w:r>
      <w:r w:rsidR="00192D80">
        <w:rPr>
          <w:szCs w:val="24"/>
        </w:rPr>
        <w:t xml:space="preserve">atsižvelgdama į viešosios įstaigos Pasvalio ligoninės 2018 metų veiklos ataskaitą, patvirtintą </w:t>
      </w:r>
      <w:r w:rsidR="004570C4">
        <w:rPr>
          <w:szCs w:val="24"/>
        </w:rPr>
        <w:t>Pasvalio rajono s</w:t>
      </w:r>
      <w:r w:rsidR="00192D80">
        <w:rPr>
          <w:szCs w:val="24"/>
        </w:rPr>
        <w:t xml:space="preserve">avivaldybės tarybos 2019 m. kovo 20 d. sprendimu Nr. T1-40 „Dėl </w:t>
      </w:r>
      <w:r w:rsidR="00192D80" w:rsidRPr="00F24149">
        <w:rPr>
          <w:szCs w:val="24"/>
        </w:rPr>
        <w:t xml:space="preserve">viešosios įstaigos Pasvalio </w:t>
      </w:r>
      <w:r w:rsidR="00192D80">
        <w:rPr>
          <w:szCs w:val="24"/>
        </w:rPr>
        <w:t xml:space="preserve">ligoninės </w:t>
      </w:r>
      <w:r w:rsidR="00192D80" w:rsidRPr="00F24149">
        <w:rPr>
          <w:szCs w:val="24"/>
        </w:rPr>
        <w:t>2018 metų finansinių ataskaitų rinkinio patvirtinimo ir pritarimo įstaigos veiklos ataskaitai</w:t>
      </w:r>
      <w:r w:rsidR="00192D80">
        <w:rPr>
          <w:szCs w:val="24"/>
        </w:rPr>
        <w:t xml:space="preserve">“, </w:t>
      </w:r>
      <w:r>
        <w:t xml:space="preserve">Pasvalio rajono savivaldybės taryba </w:t>
      </w:r>
      <w:r>
        <w:rPr>
          <w:spacing w:val="30"/>
          <w:szCs w:val="24"/>
        </w:rPr>
        <w:t>nusprendžia:</w:t>
      </w:r>
    </w:p>
    <w:p w:rsidR="0093056B" w:rsidRDefault="0093056B">
      <w:pPr>
        <w:pStyle w:val="Antrats"/>
        <w:tabs>
          <w:tab w:val="clear" w:pos="4153"/>
          <w:tab w:val="clear" w:pos="8306"/>
        </w:tabs>
        <w:ind w:firstLine="709"/>
        <w:jc w:val="both"/>
        <w:rPr>
          <w:i/>
          <w:szCs w:val="24"/>
        </w:rPr>
      </w:pPr>
      <w:r>
        <w:rPr>
          <w:szCs w:val="24"/>
        </w:rPr>
        <w:t>1. Nustatyti nuo 201</w:t>
      </w:r>
      <w:r w:rsidR="001C2570">
        <w:rPr>
          <w:szCs w:val="24"/>
        </w:rPr>
        <w:t>9</w:t>
      </w:r>
      <w:r>
        <w:rPr>
          <w:szCs w:val="24"/>
        </w:rPr>
        <w:t xml:space="preserve"> m. </w:t>
      </w:r>
      <w:r w:rsidRPr="00913BF9">
        <w:rPr>
          <w:szCs w:val="24"/>
        </w:rPr>
        <w:t>gegužės</w:t>
      </w:r>
      <w:r>
        <w:rPr>
          <w:szCs w:val="24"/>
        </w:rPr>
        <w:t xml:space="preserve"> 1 d. iki 20</w:t>
      </w:r>
      <w:r w:rsidR="001C2570">
        <w:rPr>
          <w:szCs w:val="24"/>
        </w:rPr>
        <w:t>20</w:t>
      </w:r>
      <w:r>
        <w:rPr>
          <w:szCs w:val="24"/>
        </w:rPr>
        <w:t xml:space="preserve"> m. balandžio 30 d. viešosios įstaigos Pasvalio ligoninės vyriausiajam gydytojui Rolandui Rastauskui </w:t>
      </w:r>
      <w:r>
        <w:t xml:space="preserve">____ </w:t>
      </w:r>
      <w:r>
        <w:rPr>
          <w:szCs w:val="24"/>
        </w:rPr>
        <w:t xml:space="preserve">procentų dydžio mėnesinės algos kintamąją dalį. </w:t>
      </w:r>
    </w:p>
    <w:p w:rsidR="0093056B" w:rsidRDefault="0093056B">
      <w:pPr>
        <w:pStyle w:val="Antrats"/>
        <w:tabs>
          <w:tab w:val="clear" w:pos="4153"/>
          <w:tab w:val="clear" w:pos="8306"/>
        </w:tabs>
        <w:ind w:firstLine="709"/>
        <w:jc w:val="both"/>
        <w:rPr>
          <w:szCs w:val="24"/>
        </w:rPr>
      </w:pPr>
      <w:r>
        <w:rPr>
          <w:szCs w:val="24"/>
        </w:rPr>
        <w:t xml:space="preserve">2. Įgalioti Savivaldybės </w:t>
      </w:r>
      <w:r w:rsidR="00D60E34">
        <w:rPr>
          <w:szCs w:val="24"/>
        </w:rPr>
        <w:t>merą</w:t>
      </w:r>
      <w:r>
        <w:rPr>
          <w:szCs w:val="24"/>
        </w:rPr>
        <w:t xml:space="preserve"> padaryti pakeitimus darbo sutartyje, vadovaujantis šio sprendimo 1 punktu.</w:t>
      </w:r>
    </w:p>
    <w:p w:rsidR="00F32D1B" w:rsidRDefault="0093056B" w:rsidP="00D60E34">
      <w:pPr>
        <w:pStyle w:val="Antrats"/>
        <w:tabs>
          <w:tab w:val="clear" w:pos="4153"/>
          <w:tab w:val="clear" w:pos="8306"/>
        </w:tabs>
        <w:ind w:firstLine="709"/>
        <w:jc w:val="both"/>
        <w:rPr>
          <w:szCs w:val="24"/>
        </w:rPr>
      </w:pPr>
      <w:r>
        <w:rPr>
          <w:szCs w:val="24"/>
        </w:rPr>
        <w:t>3. Įpareigoti įstaigą taikyti šio sprendimo 1 punkte nurodytą kintamąją mėnesinės algos dalį nuo 201</w:t>
      </w:r>
      <w:r w:rsidR="001C2570">
        <w:rPr>
          <w:szCs w:val="24"/>
        </w:rPr>
        <w:t>9</w:t>
      </w:r>
      <w:r>
        <w:rPr>
          <w:szCs w:val="24"/>
        </w:rPr>
        <w:t xml:space="preserve"> m. </w:t>
      </w:r>
      <w:r w:rsidRPr="00913BF9">
        <w:rPr>
          <w:szCs w:val="24"/>
        </w:rPr>
        <w:t>gegužės 1</w:t>
      </w:r>
      <w:r>
        <w:rPr>
          <w:szCs w:val="24"/>
        </w:rPr>
        <w:t xml:space="preserve"> d. iki 20</w:t>
      </w:r>
      <w:r w:rsidR="001C2570">
        <w:rPr>
          <w:szCs w:val="24"/>
        </w:rPr>
        <w:t>20</w:t>
      </w:r>
      <w:r>
        <w:rPr>
          <w:szCs w:val="24"/>
        </w:rPr>
        <w:t xml:space="preserve"> m. balandžio 30 d.</w:t>
      </w:r>
    </w:p>
    <w:p w:rsidR="00D60E34" w:rsidRDefault="00D60E34" w:rsidP="00D60E34">
      <w:pPr>
        <w:pStyle w:val="Antrat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r>
        <w:t xml:space="preserve"> </w:t>
      </w:r>
    </w:p>
    <w:p w:rsidR="00F32D1B" w:rsidRDefault="00F32D1B">
      <w:pPr>
        <w:pStyle w:val="Antrats"/>
        <w:tabs>
          <w:tab w:val="clear" w:pos="4153"/>
          <w:tab w:val="clear" w:pos="8306"/>
        </w:tabs>
        <w:ind w:firstLine="709"/>
        <w:jc w:val="both"/>
        <w:rPr>
          <w:szCs w:val="24"/>
        </w:rPr>
      </w:pPr>
    </w:p>
    <w:p w:rsidR="0093056B" w:rsidRDefault="0093056B">
      <w:pPr>
        <w:pStyle w:val="Antrats"/>
        <w:tabs>
          <w:tab w:val="clear" w:pos="4153"/>
          <w:tab w:val="clear" w:pos="8306"/>
        </w:tabs>
        <w:jc w:val="both"/>
      </w:pPr>
    </w:p>
    <w:p w:rsidR="0093056B" w:rsidRDefault="0093056B">
      <w:pPr>
        <w:pStyle w:val="Antrats"/>
        <w:tabs>
          <w:tab w:val="clear" w:pos="4153"/>
          <w:tab w:val="clear" w:pos="8306"/>
        </w:tabs>
        <w:jc w:val="both"/>
      </w:pPr>
      <w:r>
        <w:t xml:space="preserve">Savivaldybės meras </w:t>
      </w:r>
      <w:r>
        <w:tab/>
      </w:r>
      <w:r>
        <w:tab/>
      </w:r>
      <w:r>
        <w:tab/>
      </w:r>
      <w:r>
        <w:tab/>
      </w:r>
      <w:r>
        <w:tab/>
      </w:r>
      <w:r>
        <w:tab/>
      </w:r>
      <w:r>
        <w:tab/>
      </w:r>
      <w:r>
        <w:tab/>
      </w:r>
    </w:p>
    <w:p w:rsidR="000E7F57" w:rsidRDefault="000E7F57">
      <w:pPr>
        <w:pStyle w:val="Antrats"/>
        <w:tabs>
          <w:tab w:val="clear" w:pos="4153"/>
          <w:tab w:val="clear" w:pos="8306"/>
        </w:tabs>
        <w:jc w:val="both"/>
      </w:pPr>
    </w:p>
    <w:p w:rsidR="00CB3653" w:rsidRDefault="00CB3653">
      <w:pPr>
        <w:pStyle w:val="Antrats"/>
        <w:tabs>
          <w:tab w:val="clear" w:pos="4153"/>
          <w:tab w:val="clear" w:pos="8306"/>
        </w:tabs>
        <w:jc w:val="both"/>
      </w:pPr>
    </w:p>
    <w:p w:rsidR="0093056B" w:rsidRDefault="007A323A">
      <w:pPr>
        <w:pStyle w:val="Antrats"/>
        <w:tabs>
          <w:tab w:val="clear" w:pos="4153"/>
          <w:tab w:val="clear" w:pos="8306"/>
        </w:tabs>
        <w:jc w:val="both"/>
        <w:rPr>
          <w:sz w:val="22"/>
          <w:szCs w:val="22"/>
        </w:rPr>
      </w:pPr>
      <w:r>
        <w:rPr>
          <w:sz w:val="22"/>
          <w:szCs w:val="22"/>
        </w:rPr>
        <w:t>P</w:t>
      </w:r>
      <w:r w:rsidR="0093056B">
        <w:rPr>
          <w:sz w:val="22"/>
          <w:szCs w:val="22"/>
        </w:rPr>
        <w:t>arengė</w:t>
      </w:r>
    </w:p>
    <w:p w:rsidR="0093056B" w:rsidRDefault="0093056B">
      <w:pPr>
        <w:pStyle w:val="Antrats"/>
        <w:tabs>
          <w:tab w:val="clear" w:pos="4153"/>
          <w:tab w:val="clear" w:pos="8306"/>
        </w:tabs>
        <w:rPr>
          <w:sz w:val="22"/>
          <w:szCs w:val="22"/>
        </w:rPr>
      </w:pPr>
      <w:r>
        <w:rPr>
          <w:sz w:val="22"/>
          <w:szCs w:val="22"/>
        </w:rPr>
        <w:t xml:space="preserve">Socialinės paramos ir sveikatos skyriaus </w:t>
      </w:r>
    </w:p>
    <w:p w:rsidR="0093056B" w:rsidRDefault="0093056B">
      <w:pPr>
        <w:pStyle w:val="Antrats"/>
        <w:tabs>
          <w:tab w:val="clear" w:pos="4153"/>
          <w:tab w:val="clear" w:pos="8306"/>
        </w:tabs>
        <w:rPr>
          <w:sz w:val="22"/>
          <w:szCs w:val="22"/>
        </w:rPr>
      </w:pPr>
      <w:r>
        <w:rPr>
          <w:sz w:val="22"/>
          <w:szCs w:val="22"/>
        </w:rPr>
        <w:t xml:space="preserve">vyriausioji specialistė (Savivaldybės gydytoja) </w:t>
      </w:r>
    </w:p>
    <w:p w:rsidR="0093056B" w:rsidRDefault="0093056B">
      <w:pPr>
        <w:pStyle w:val="Antrats"/>
        <w:tabs>
          <w:tab w:val="clear" w:pos="4153"/>
          <w:tab w:val="clear" w:pos="8306"/>
        </w:tabs>
        <w:rPr>
          <w:sz w:val="22"/>
          <w:szCs w:val="22"/>
        </w:rPr>
      </w:pPr>
    </w:p>
    <w:p w:rsidR="0093056B" w:rsidRDefault="0093056B">
      <w:pPr>
        <w:pStyle w:val="Antrats"/>
        <w:tabs>
          <w:tab w:val="clear" w:pos="4153"/>
          <w:tab w:val="clear" w:pos="8306"/>
        </w:tabs>
        <w:jc w:val="both"/>
        <w:rPr>
          <w:sz w:val="22"/>
          <w:szCs w:val="22"/>
        </w:rPr>
      </w:pPr>
      <w:r>
        <w:rPr>
          <w:sz w:val="22"/>
          <w:szCs w:val="22"/>
        </w:rPr>
        <w:t xml:space="preserve">Dalia Vasiliūnienė </w:t>
      </w:r>
    </w:p>
    <w:p w:rsidR="0093056B" w:rsidRDefault="0093056B">
      <w:pPr>
        <w:pStyle w:val="Antrats"/>
        <w:tabs>
          <w:tab w:val="clear" w:pos="4153"/>
          <w:tab w:val="clear" w:pos="8306"/>
        </w:tabs>
        <w:jc w:val="both"/>
        <w:rPr>
          <w:sz w:val="22"/>
          <w:szCs w:val="22"/>
        </w:rPr>
      </w:pPr>
      <w:r>
        <w:rPr>
          <w:sz w:val="22"/>
          <w:szCs w:val="22"/>
        </w:rPr>
        <w:t>201</w:t>
      </w:r>
      <w:r w:rsidR="00B02FE3">
        <w:rPr>
          <w:sz w:val="22"/>
          <w:szCs w:val="22"/>
        </w:rPr>
        <w:t>9</w:t>
      </w:r>
      <w:r>
        <w:rPr>
          <w:sz w:val="22"/>
          <w:szCs w:val="22"/>
        </w:rPr>
        <w:t>-0</w:t>
      </w:r>
      <w:r w:rsidR="00192D80">
        <w:rPr>
          <w:sz w:val="22"/>
          <w:szCs w:val="22"/>
        </w:rPr>
        <w:t>4</w:t>
      </w:r>
      <w:r>
        <w:rPr>
          <w:sz w:val="22"/>
          <w:szCs w:val="22"/>
        </w:rPr>
        <w:t>-</w:t>
      </w:r>
      <w:r w:rsidR="00192D80">
        <w:rPr>
          <w:sz w:val="22"/>
          <w:szCs w:val="22"/>
        </w:rPr>
        <w:t>11</w:t>
      </w:r>
      <w:r>
        <w:rPr>
          <w:sz w:val="22"/>
          <w:szCs w:val="22"/>
        </w:rPr>
        <w:t>, tel. (8 451) 54 086</w:t>
      </w:r>
    </w:p>
    <w:p w:rsidR="0093056B" w:rsidRDefault="0093056B">
      <w:pPr>
        <w:pStyle w:val="Antrats"/>
        <w:tabs>
          <w:tab w:val="clear" w:pos="4153"/>
          <w:tab w:val="clear" w:pos="8306"/>
        </w:tabs>
        <w:jc w:val="both"/>
        <w:rPr>
          <w:sz w:val="22"/>
          <w:szCs w:val="22"/>
        </w:rPr>
      </w:pPr>
    </w:p>
    <w:p w:rsidR="0093056B" w:rsidRDefault="0093056B">
      <w:pPr>
        <w:pStyle w:val="Antrats"/>
        <w:tabs>
          <w:tab w:val="clear" w:pos="4153"/>
          <w:tab w:val="clear" w:pos="8306"/>
        </w:tabs>
        <w:jc w:val="both"/>
        <w:rPr>
          <w:sz w:val="22"/>
          <w:szCs w:val="22"/>
        </w:rPr>
      </w:pPr>
      <w:r>
        <w:rPr>
          <w:sz w:val="22"/>
          <w:szCs w:val="22"/>
        </w:rPr>
        <w:t>Suderinta DVS Nr. RTS-</w:t>
      </w:r>
      <w:r w:rsidR="00992817">
        <w:rPr>
          <w:sz w:val="22"/>
          <w:szCs w:val="22"/>
        </w:rPr>
        <w:t>95</w:t>
      </w:r>
    </w:p>
    <w:p w:rsidR="0093056B" w:rsidRDefault="0093056B">
      <w:pPr>
        <w:jc w:val="center"/>
        <w:rPr>
          <w:b/>
          <w:caps/>
        </w:rPr>
      </w:pPr>
    </w:p>
    <w:p w:rsidR="00B02FE3" w:rsidRDefault="00B02FE3"/>
    <w:p w:rsidR="00B02FE3" w:rsidRDefault="00B02FE3"/>
    <w:p w:rsidR="0093056B" w:rsidRDefault="0093056B">
      <w:r>
        <w:t>Pasvalio rajono savivaldybės tarybai</w:t>
      </w:r>
    </w:p>
    <w:p w:rsidR="0093056B" w:rsidRDefault="0093056B"/>
    <w:p w:rsidR="0093056B" w:rsidRDefault="0093056B">
      <w:pPr>
        <w:jc w:val="center"/>
        <w:rPr>
          <w:b/>
        </w:rPr>
      </w:pPr>
      <w:r>
        <w:rPr>
          <w:b/>
        </w:rPr>
        <w:t>AIŠKINAMASIS  RAŠTAS</w:t>
      </w:r>
    </w:p>
    <w:p w:rsidR="0093056B" w:rsidRDefault="0093056B">
      <w:pPr>
        <w:jc w:val="center"/>
        <w:rPr>
          <w:b/>
        </w:rPr>
      </w:pPr>
    </w:p>
    <w:p w:rsidR="0093056B" w:rsidRDefault="0093056B">
      <w:pPr>
        <w:pStyle w:val="Antrats"/>
        <w:tabs>
          <w:tab w:val="clear" w:pos="4153"/>
          <w:tab w:val="clear" w:pos="8306"/>
        </w:tabs>
        <w:jc w:val="center"/>
        <w:rPr>
          <w:b/>
        </w:rPr>
      </w:pPr>
      <w:r>
        <w:rPr>
          <w:b/>
        </w:rPr>
        <w:t xml:space="preserve"> </w:t>
      </w:r>
      <w:r>
        <w:rPr>
          <w:b/>
          <w:caps/>
        </w:rPr>
        <w:t xml:space="preserve">DĖL viešosios įstaigos Pasvalio ligoninės vadovo mėnesinės algos kintamosios dalies dydžio nustatymo </w:t>
      </w:r>
    </w:p>
    <w:p w:rsidR="0093056B" w:rsidRDefault="0093056B">
      <w:pPr>
        <w:jc w:val="center"/>
        <w:rPr>
          <w:b/>
        </w:rPr>
      </w:pPr>
      <w:r>
        <w:rPr>
          <w:b/>
        </w:rPr>
        <w:t xml:space="preserve"> </w:t>
      </w:r>
    </w:p>
    <w:p w:rsidR="0093056B" w:rsidRDefault="0093056B">
      <w:pPr>
        <w:jc w:val="center"/>
        <w:rPr>
          <w:b/>
        </w:rPr>
      </w:pPr>
      <w:r>
        <w:rPr>
          <w:b/>
        </w:rPr>
        <w:t>201</w:t>
      </w:r>
      <w:r w:rsidR="00B02FE3">
        <w:rPr>
          <w:b/>
        </w:rPr>
        <w:t>9</w:t>
      </w:r>
      <w:r>
        <w:rPr>
          <w:b/>
        </w:rPr>
        <w:t>-0</w:t>
      </w:r>
      <w:r w:rsidR="00192D80">
        <w:rPr>
          <w:b/>
        </w:rPr>
        <w:t>4</w:t>
      </w:r>
      <w:r>
        <w:rPr>
          <w:b/>
        </w:rPr>
        <w:t>-</w:t>
      </w:r>
      <w:r w:rsidR="00192D80">
        <w:rPr>
          <w:b/>
        </w:rPr>
        <w:t>11</w:t>
      </w:r>
    </w:p>
    <w:p w:rsidR="0093056B" w:rsidRDefault="0093056B">
      <w:pPr>
        <w:jc w:val="center"/>
      </w:pPr>
      <w:r>
        <w:t>Pasvalys</w:t>
      </w:r>
    </w:p>
    <w:p w:rsidR="0093056B" w:rsidRDefault="0093056B">
      <w:pPr>
        <w:jc w:val="both"/>
        <w:rPr>
          <w:sz w:val="16"/>
          <w:szCs w:val="16"/>
        </w:rPr>
      </w:pPr>
    </w:p>
    <w:p w:rsidR="0093056B" w:rsidRDefault="0093056B">
      <w:pPr>
        <w:pStyle w:val="Sraopastraipa"/>
        <w:numPr>
          <w:ilvl w:val="0"/>
          <w:numId w:val="1"/>
        </w:numPr>
        <w:jc w:val="both"/>
        <w:rPr>
          <w:szCs w:val="24"/>
        </w:rPr>
      </w:pPr>
      <w:r>
        <w:rPr>
          <w:b/>
          <w:szCs w:val="24"/>
        </w:rPr>
        <w:t>Problemos esmė</w:t>
      </w:r>
      <w:r>
        <w:rPr>
          <w:szCs w:val="24"/>
        </w:rPr>
        <w:t xml:space="preserve"> </w:t>
      </w:r>
    </w:p>
    <w:p w:rsidR="0093056B" w:rsidRDefault="0093056B">
      <w:pPr>
        <w:pStyle w:val="Antrats"/>
        <w:tabs>
          <w:tab w:val="clear" w:pos="4153"/>
          <w:tab w:val="clear" w:pos="8306"/>
        </w:tabs>
        <w:ind w:firstLine="720"/>
        <w:jc w:val="both"/>
        <w:rPr>
          <w:szCs w:val="24"/>
        </w:rPr>
      </w:pPr>
      <w:r>
        <w:rPr>
          <w:szCs w:val="24"/>
        </w:rPr>
        <w:t xml:space="preserve">Sprendimo projektu siūloma nustatyti </w:t>
      </w:r>
      <w:r>
        <w:t>VšĮ Pasvalio ligoninės vyr. gydytojui Rolandui Rastauskui</w:t>
      </w:r>
      <w:r>
        <w:rPr>
          <w:szCs w:val="24"/>
        </w:rPr>
        <w:t xml:space="preserve"> mėnesinės algos  kintamosios dalies dydį. </w:t>
      </w:r>
    </w:p>
    <w:p w:rsidR="00147957" w:rsidRDefault="00147957" w:rsidP="00147957">
      <w:pPr>
        <w:pStyle w:val="nospacing1"/>
        <w:spacing w:before="0" w:beforeAutospacing="0" w:after="0" w:afterAutospacing="0"/>
        <w:ind w:firstLine="720"/>
        <w:jc w:val="both"/>
      </w:pPr>
      <w:r>
        <w:t>Lietuvos Respublikos sveikatos priežiūros įstaigų įstatymo 15</w:t>
      </w:r>
      <w:r>
        <w:rPr>
          <w:vertAlign w:val="superscript"/>
        </w:rPr>
        <w:t xml:space="preserve">1 </w:t>
      </w:r>
      <w:r>
        <w:t xml:space="preserve">straipsnio </w:t>
      </w:r>
      <w:r>
        <w:rPr>
          <w:color w:val="000000"/>
        </w:rPr>
        <w:t>1 punkte sakoma, kad sveikatos priežiūros viešųjų įstaigų vadovų mėnesinė alga susideda iš pastoviosios ir kintamosios algos dalių. Pastoviosios algos dydis nustatomas Lietuvos Respublikos sveikatos priežiūros įstaigų įstatymo nustatyta tvarka. Šio įstatymo 15</w:t>
      </w:r>
      <w:r w:rsidRPr="00BF0F95">
        <w:rPr>
          <w:color w:val="000000"/>
          <w:vertAlign w:val="superscript"/>
        </w:rPr>
        <w:t>1</w:t>
      </w:r>
      <w:r>
        <w:rPr>
          <w:color w:val="000000"/>
          <w:vertAlign w:val="superscript"/>
        </w:rPr>
        <w:t xml:space="preserve"> </w:t>
      </w:r>
      <w:r w:rsidRPr="00BF0F95">
        <w:rPr>
          <w:color w:val="000000"/>
        </w:rPr>
        <w:t>straipsnio 6 punktas nurodo</w:t>
      </w:r>
      <w:r>
        <w:rPr>
          <w:color w:val="000000"/>
        </w:rPr>
        <w:t xml:space="preserve">, kad </w:t>
      </w:r>
      <w:r w:rsidRPr="00BD4F21">
        <w:rPr>
          <w:color w:val="000000"/>
        </w:rPr>
        <w:t xml:space="preserve">mėnesinės algos kintamosios dalies dydis priklauso nuo praėjusių kalendorinių metų įstaigos veiklos rezultatų ir nustatomas vieniems metams. </w:t>
      </w:r>
      <w:r>
        <w:rPr>
          <w:color w:val="000000"/>
        </w:rPr>
        <w:t>Į</w:t>
      </w:r>
      <w:r w:rsidRPr="00BD4F21">
        <w:rPr>
          <w:color w:val="000000"/>
        </w:rPr>
        <w:t>staigų veiklos rezultatų vertinimo kiekybinių ir kokybinių rodiklių ir vadovaujančių darbuotojų mėnesinės algos kintamosios dalies nustatymo tvarkos aprašą tvirtina sveikatos apsaugos ministras. Visais atvejais mėnesinės algos kintamosios dalies dydis negali viršyti 40</w:t>
      </w:r>
      <w:r w:rsidRPr="00BD4F21">
        <w:rPr>
          <w:b/>
          <w:bCs/>
          <w:color w:val="000000"/>
        </w:rPr>
        <w:t> </w:t>
      </w:r>
      <w:r w:rsidRPr="00BD4F21">
        <w:rPr>
          <w:color w:val="000000"/>
        </w:rPr>
        <w:t xml:space="preserve">procentų vadovaujančiajam darbuotojui nustatytos mėnesinės algos pastoviosios dalies dydžio. </w:t>
      </w:r>
    </w:p>
    <w:p w:rsidR="0093056B" w:rsidRDefault="0093056B">
      <w:pPr>
        <w:pStyle w:val="Antrats"/>
        <w:tabs>
          <w:tab w:val="clear" w:pos="4153"/>
          <w:tab w:val="clear" w:pos="8306"/>
        </w:tabs>
        <w:ind w:firstLine="720"/>
        <w:jc w:val="both"/>
      </w:pPr>
      <w:r>
        <w:rPr>
          <w:color w:val="000000"/>
        </w:rPr>
        <w:t>Vadovaudamasi</w:t>
      </w:r>
      <w:r w:rsidR="00DD082D">
        <w:rPr>
          <w:color w:val="000000"/>
        </w:rPr>
        <w:t>s</w:t>
      </w:r>
      <w:r>
        <w:rPr>
          <w:color w:val="000000"/>
        </w:rPr>
        <w:t xml:space="preserve"> šio įstatymo </w:t>
      </w:r>
      <w:r>
        <w:t>15</w:t>
      </w:r>
      <w:r>
        <w:rPr>
          <w:vertAlign w:val="superscript"/>
        </w:rPr>
        <w:t xml:space="preserve">1 </w:t>
      </w:r>
      <w:r>
        <w:rPr>
          <w:color w:val="000000"/>
        </w:rPr>
        <w:t xml:space="preserve">straipsniu </w:t>
      </w:r>
      <w:r w:rsidR="003E37BF">
        <w:t>1 dalimi, 2 dalies 1 punktu</w:t>
      </w:r>
      <w:r w:rsidR="003E37BF">
        <w:rPr>
          <w:color w:val="000000"/>
        </w:rPr>
        <w:t xml:space="preserve"> </w:t>
      </w:r>
      <w:r>
        <w:rPr>
          <w:color w:val="000000"/>
        </w:rPr>
        <w:t xml:space="preserve">Savivaldybės </w:t>
      </w:r>
      <w:r w:rsidR="00DD082D">
        <w:rPr>
          <w:color w:val="000000"/>
        </w:rPr>
        <w:t>meras</w:t>
      </w:r>
      <w:r>
        <w:rPr>
          <w:color w:val="000000"/>
        </w:rPr>
        <w:t xml:space="preserve"> 201</w:t>
      </w:r>
      <w:r w:rsidR="005665AC">
        <w:rPr>
          <w:color w:val="000000"/>
        </w:rPr>
        <w:t>8</w:t>
      </w:r>
      <w:r>
        <w:rPr>
          <w:color w:val="000000"/>
        </w:rPr>
        <w:t xml:space="preserve"> m. </w:t>
      </w:r>
      <w:r w:rsidR="00DD082D">
        <w:rPr>
          <w:color w:val="000000"/>
        </w:rPr>
        <w:t>rugsėjo 10 d. potvarkiu</w:t>
      </w:r>
      <w:r>
        <w:rPr>
          <w:color w:val="000000"/>
        </w:rPr>
        <w:t xml:space="preserve"> Nr. </w:t>
      </w:r>
      <w:r w:rsidR="00DD082D">
        <w:rPr>
          <w:color w:val="000000"/>
        </w:rPr>
        <w:t>MK</w:t>
      </w:r>
      <w:r>
        <w:rPr>
          <w:color w:val="000000"/>
        </w:rPr>
        <w:t>-</w:t>
      </w:r>
      <w:r w:rsidR="00DD082D">
        <w:rPr>
          <w:color w:val="000000"/>
        </w:rPr>
        <w:t>20</w:t>
      </w:r>
      <w:r>
        <w:rPr>
          <w:color w:val="000000"/>
        </w:rPr>
        <w:t xml:space="preserve"> „Dėl Rolando Rastausko skyrimo į pareigas“ 2 punktu nustatė, </w:t>
      </w:r>
      <w:r>
        <w:t xml:space="preserve">kad viešosios įstaigos Pasvalio ligoninės vyriausiajam gydytojui Rolandui Rastauskui mėnesinės algos pastovioji dalis apskaičiuojama taikant koeficientą (valstybės politikų, teisėjų, valstybės pareigūnų ir valstybės tarnautojų pareiginės algos (atlyginimo) baziniais dydžiais), nustatytą Lietuvos nacionalinės sveikatos sistemos rajono lygmens viešųjų įstaigų vadovams Lietuvos Respublikos sveikatos priežiūros įstaigų įstatymu. </w:t>
      </w:r>
      <w:r>
        <w:rPr>
          <w:color w:val="000000"/>
        </w:rPr>
        <w:t xml:space="preserve">VšĮ Pasvalio ligoninė yra rajono lygmens ir įstaigos vadovui taikomas </w:t>
      </w:r>
      <w:r>
        <w:t>koeficientas 12 (13</w:t>
      </w:r>
      <w:r w:rsidR="00D60E34">
        <w:t>2</w:t>
      </w:r>
      <w:r>
        <w:t>,5 Eur x 12), pastovioji mėnesinės algos dalis 1</w:t>
      </w:r>
      <w:r w:rsidR="007A323A">
        <w:t xml:space="preserve"> </w:t>
      </w:r>
      <w:r>
        <w:t>5</w:t>
      </w:r>
      <w:r w:rsidR="00D60E34">
        <w:t>90</w:t>
      </w:r>
      <w:r>
        <w:t xml:space="preserve"> Eur. </w:t>
      </w:r>
    </w:p>
    <w:p w:rsidR="005665AC" w:rsidRDefault="005665AC" w:rsidP="005665AC">
      <w:pPr>
        <w:pStyle w:val="Antrats"/>
        <w:tabs>
          <w:tab w:val="clear" w:pos="4153"/>
          <w:tab w:val="clear" w:pos="8306"/>
          <w:tab w:val="left" w:pos="993"/>
        </w:tabs>
        <w:ind w:firstLine="720"/>
        <w:jc w:val="both"/>
        <w:rPr>
          <w:szCs w:val="24"/>
        </w:rPr>
      </w:pPr>
      <w:r>
        <w:t xml:space="preserve">Vadovaudamasi  </w:t>
      </w:r>
      <w:r>
        <w:rPr>
          <w:color w:val="000000"/>
        </w:rPr>
        <w:t xml:space="preserve">Lietuvos nacionalinės sveikatos sistemos viešųjų įstaigų vadovų ir jų pavaduotojų mėnesinės algos kintamosios dalies dydžio nustatymo tvarkos aprašu, </w:t>
      </w:r>
      <w:r>
        <w:rPr>
          <w:szCs w:val="24"/>
        </w:rPr>
        <w:t xml:space="preserve">patvirtintu Lietuvos Respublikos sveikatos apsaugos ministro 2019 m. kovo 25 d. įsakymu Nr. V-361 „Dėl </w:t>
      </w:r>
      <w:r>
        <w:rPr>
          <w:color w:val="000000"/>
        </w:rPr>
        <w:t>Lietuvos nacionalinės sveikatos sistemos viešųjų įstaigų vadovų ir jų pavaduotojų mėnesinės algos kintamosios dalies dydžio nustatymo tvarkos aprašo patvirtinimo“</w:t>
      </w:r>
      <w:r>
        <w:rPr>
          <w:szCs w:val="24"/>
        </w:rPr>
        <w:t xml:space="preserve">, (toliau – Aprašas), sprendimas dėl VšĮ </w:t>
      </w:r>
      <w:r>
        <w:t xml:space="preserve">Pasvalio </w:t>
      </w:r>
      <w:r w:rsidR="00DD082D">
        <w:t>ligoninės</w:t>
      </w:r>
      <w:r>
        <w:t xml:space="preserve"> </w:t>
      </w:r>
      <w:r>
        <w:rPr>
          <w:szCs w:val="24"/>
        </w:rPr>
        <w:t xml:space="preserve">vadovo algos kintamosios dalies turi būti priimamas įvertinant įstaigos praėjusių metų </w:t>
      </w:r>
      <w:r w:rsidRPr="00222114">
        <w:rPr>
          <w:szCs w:val="24"/>
        </w:rPr>
        <w:t>veiklos rezultatų vertinimo rodiklių siektin</w:t>
      </w:r>
      <w:r>
        <w:rPr>
          <w:szCs w:val="24"/>
        </w:rPr>
        <w:t>ų</w:t>
      </w:r>
      <w:r w:rsidRPr="00222114">
        <w:rPr>
          <w:szCs w:val="24"/>
        </w:rPr>
        <w:t xml:space="preserve"> reikšm</w:t>
      </w:r>
      <w:r>
        <w:rPr>
          <w:szCs w:val="24"/>
        </w:rPr>
        <w:t>ių</w:t>
      </w:r>
      <w:r w:rsidRPr="00222114">
        <w:rPr>
          <w:szCs w:val="24"/>
        </w:rPr>
        <w:t xml:space="preserve"> </w:t>
      </w:r>
      <w:r>
        <w:rPr>
          <w:szCs w:val="24"/>
        </w:rPr>
        <w:t>įgyvendinimą, kurių įgyvendinimo rodikliai pateikti</w:t>
      </w:r>
      <w:r w:rsidRPr="00222114">
        <w:t xml:space="preserve"> </w:t>
      </w:r>
      <w:r>
        <w:t xml:space="preserve">VšĮ </w:t>
      </w:r>
      <w:r w:rsidRPr="00222114">
        <w:rPr>
          <w:szCs w:val="24"/>
        </w:rPr>
        <w:t xml:space="preserve">Pasvalio </w:t>
      </w:r>
      <w:r w:rsidR="00DD082D">
        <w:rPr>
          <w:szCs w:val="24"/>
        </w:rPr>
        <w:t>ligoninės</w:t>
      </w:r>
      <w:r w:rsidRPr="00222114">
        <w:rPr>
          <w:szCs w:val="24"/>
        </w:rPr>
        <w:t xml:space="preserve"> 2018 metų veiklos ataskait</w:t>
      </w:r>
      <w:r>
        <w:rPr>
          <w:szCs w:val="24"/>
        </w:rPr>
        <w:t>oje</w:t>
      </w:r>
      <w:r w:rsidR="004223DD">
        <w:rPr>
          <w:szCs w:val="24"/>
        </w:rPr>
        <w:t xml:space="preserve"> (patikslinta 2019 m. balandžio 15 d. raštu Nr. R3-220 „Dėl siektinų rodiklių).</w:t>
      </w:r>
    </w:p>
    <w:p w:rsidR="005665AC" w:rsidRDefault="005665AC" w:rsidP="005665AC">
      <w:pPr>
        <w:pStyle w:val="Antrats"/>
        <w:tabs>
          <w:tab w:val="clear" w:pos="4153"/>
          <w:tab w:val="clear" w:pos="8306"/>
          <w:tab w:val="left" w:pos="993"/>
        </w:tabs>
        <w:ind w:firstLine="720"/>
        <w:jc w:val="both"/>
        <w:rPr>
          <w:szCs w:val="24"/>
        </w:rPr>
      </w:pPr>
      <w:r>
        <w:rPr>
          <w:szCs w:val="24"/>
        </w:rPr>
        <w:t xml:space="preserve">Vadovaujantis anksčiau minėtu Aprašu, </w:t>
      </w:r>
      <w:r w:rsidRPr="001968FB">
        <w:rPr>
          <w:szCs w:val="24"/>
        </w:rPr>
        <w:t>įvertina</w:t>
      </w:r>
      <w:r>
        <w:rPr>
          <w:szCs w:val="24"/>
        </w:rPr>
        <w:t>ma</w:t>
      </w:r>
      <w:r w:rsidRPr="001968FB">
        <w:rPr>
          <w:szCs w:val="24"/>
        </w:rPr>
        <w:t>, ar LNSS viešoji įstaiga praėjusiais metais pasiekė Lietuvos Respublikos sveikatos apsaugos ministro įstaigų grupei, kuriai priklauso LNSS viešoji įstaiga, patvirtintas LNSS viešųjų ir biudžetinių įstaigų, teikiančių asmens sveikatos priežiūros paslaugas, veiklos rezultatų vertinimo rodiklių siektinas reikšmes (toliau – siektina reikšmė), ir nustato</w:t>
      </w:r>
      <w:r>
        <w:rPr>
          <w:szCs w:val="24"/>
        </w:rPr>
        <w:t>mas</w:t>
      </w:r>
      <w:r w:rsidRPr="001968FB">
        <w:rPr>
          <w:szCs w:val="24"/>
        </w:rPr>
        <w:t xml:space="preserve"> kiekvieno Lietuvos Respublikos sveikatos priežiūros įstaigų įstatymo (toliau – Įstatymas) 15</w:t>
      </w:r>
      <w:r w:rsidRPr="00250239">
        <w:rPr>
          <w:szCs w:val="24"/>
          <w:vertAlign w:val="superscript"/>
        </w:rPr>
        <w:t>2</w:t>
      </w:r>
      <w:r w:rsidRPr="001968FB">
        <w:rPr>
          <w:szCs w:val="24"/>
        </w:rPr>
        <w:t xml:space="preserve"> straipsnio 1 ir 2 dalyse nurodyto rodiklio (toliau – rodiklis) siektinos reikšmės įvykdymo vertinimo bal</w:t>
      </w:r>
      <w:r>
        <w:rPr>
          <w:szCs w:val="24"/>
        </w:rPr>
        <w:t>as.</w:t>
      </w:r>
    </w:p>
    <w:p w:rsidR="005665AC" w:rsidRDefault="005665AC" w:rsidP="005665AC">
      <w:pPr>
        <w:pStyle w:val="Antrats"/>
        <w:tabs>
          <w:tab w:val="clear" w:pos="4153"/>
          <w:tab w:val="clear" w:pos="8306"/>
          <w:tab w:val="left" w:pos="993"/>
        </w:tabs>
        <w:ind w:firstLine="720"/>
        <w:jc w:val="both"/>
        <w:rPr>
          <w:bCs/>
          <w:color w:val="000000"/>
          <w:szCs w:val="24"/>
        </w:rPr>
      </w:pPr>
      <w:r>
        <w:rPr>
          <w:bCs/>
          <w:color w:val="000000"/>
          <w:szCs w:val="24"/>
        </w:rPr>
        <w:t>Balai sudedami ir nustatoma vadovaujančio darbuotojo mėnesinės algos kintamoji dalis:</w:t>
      </w:r>
    </w:p>
    <w:p w:rsidR="00147957" w:rsidRDefault="00147957" w:rsidP="00147957">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147957" w:rsidRPr="00485E53" w:rsidTr="00485E53">
        <w:tc>
          <w:tcPr>
            <w:tcW w:w="3794" w:type="dxa"/>
            <w:shd w:val="clear" w:color="auto" w:fill="auto"/>
          </w:tcPr>
          <w:p w:rsidR="00147957" w:rsidRPr="005665AC" w:rsidRDefault="005665AC" w:rsidP="00485E53">
            <w:pPr>
              <w:pStyle w:val="Antrats"/>
              <w:tabs>
                <w:tab w:val="clear" w:pos="4153"/>
                <w:tab w:val="clear" w:pos="8306"/>
                <w:tab w:val="left" w:pos="993"/>
              </w:tabs>
              <w:jc w:val="both"/>
              <w:rPr>
                <w:bCs/>
                <w:color w:val="000000"/>
                <w:szCs w:val="24"/>
              </w:rPr>
            </w:pPr>
            <w:r w:rsidRPr="005665AC">
              <w:rPr>
                <w:color w:val="000000"/>
              </w:rPr>
              <w:t>Mėnesinės algos kintamoji dalis</w:t>
            </w:r>
            <w:r w:rsidRPr="005665AC">
              <w:t xml:space="preserve">, </w:t>
            </w:r>
            <w:r w:rsidRPr="005665AC">
              <w:lastRenderedPageBreak/>
              <w:t>mėnesinės algos pastoviosios dalies dydžio procentai</w:t>
            </w:r>
            <w:r w:rsidRPr="005665AC">
              <w:rPr>
                <w:bCs/>
                <w:color w:val="000000"/>
                <w:szCs w:val="24"/>
              </w:rPr>
              <w:t xml:space="preserve"> </w:t>
            </w:r>
          </w:p>
        </w:tc>
        <w:tc>
          <w:tcPr>
            <w:tcW w:w="6060" w:type="dxa"/>
            <w:shd w:val="clear" w:color="auto" w:fill="auto"/>
          </w:tcPr>
          <w:p w:rsidR="00147957" w:rsidRPr="00485E53" w:rsidRDefault="00147957" w:rsidP="00485E53">
            <w:pPr>
              <w:jc w:val="both"/>
              <w:rPr>
                <w:bCs/>
                <w:color w:val="000000"/>
                <w:szCs w:val="24"/>
              </w:rPr>
            </w:pPr>
            <w:r w:rsidRPr="00485E53">
              <w:rPr>
                <w:bCs/>
                <w:color w:val="000000"/>
                <w:szCs w:val="24"/>
              </w:rPr>
              <w:lastRenderedPageBreak/>
              <w:t xml:space="preserve">Rajonų ir regionų lygmens Lietuvos nacionalinės sveikatos </w:t>
            </w:r>
            <w:r w:rsidRPr="00485E53">
              <w:rPr>
                <w:bCs/>
                <w:color w:val="000000"/>
                <w:szCs w:val="24"/>
              </w:rPr>
              <w:lastRenderedPageBreak/>
              <w:t>sistemos (toliau – LNSS) viešųjų įstaigų</w:t>
            </w:r>
          </w:p>
          <w:p w:rsidR="00147957" w:rsidRPr="00485E53" w:rsidRDefault="00147957" w:rsidP="00485E53">
            <w:pPr>
              <w:pStyle w:val="Antrats"/>
              <w:tabs>
                <w:tab w:val="clear" w:pos="4153"/>
                <w:tab w:val="clear" w:pos="8306"/>
                <w:tab w:val="left" w:pos="993"/>
              </w:tabs>
              <w:jc w:val="both"/>
              <w:rPr>
                <w:bCs/>
                <w:color w:val="000000"/>
                <w:szCs w:val="24"/>
              </w:rPr>
            </w:pPr>
            <w:r w:rsidRPr="00485E53">
              <w:rPr>
                <w:bCs/>
                <w:color w:val="000000"/>
                <w:szCs w:val="24"/>
              </w:rPr>
              <w:t>(turinčių kompiuterinės tomografijos aparatą)  balai</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lastRenderedPageBreak/>
              <w:t>5</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Iki 4</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6</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5–9</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7</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10–14</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8</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15–19</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9</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20–24</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10</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25–29</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20</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30–49</w:t>
            </w:r>
          </w:p>
        </w:tc>
      </w:tr>
      <w:tr w:rsidR="00A522B0" w:rsidRPr="00485E53" w:rsidTr="00A45614">
        <w:tc>
          <w:tcPr>
            <w:tcW w:w="3794" w:type="dxa"/>
            <w:shd w:val="clear" w:color="auto" w:fill="auto"/>
          </w:tcPr>
          <w:p w:rsidR="00A522B0" w:rsidRPr="00485E53" w:rsidRDefault="00A522B0" w:rsidP="00A522B0">
            <w:pPr>
              <w:pStyle w:val="Antrats"/>
              <w:tabs>
                <w:tab w:val="clear" w:pos="4153"/>
                <w:tab w:val="clear" w:pos="8306"/>
                <w:tab w:val="left" w:pos="993"/>
              </w:tabs>
              <w:jc w:val="center"/>
              <w:rPr>
                <w:bCs/>
                <w:color w:val="000000"/>
                <w:szCs w:val="24"/>
              </w:rPr>
            </w:pPr>
            <w:r>
              <w:rPr>
                <w:bCs/>
                <w:color w:val="000000"/>
                <w:szCs w:val="24"/>
              </w:rPr>
              <w:t>30</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50–69</w:t>
            </w:r>
          </w:p>
        </w:tc>
      </w:tr>
      <w:tr w:rsidR="00A522B0" w:rsidRPr="00485E53" w:rsidTr="00A45614">
        <w:tc>
          <w:tcPr>
            <w:tcW w:w="3794" w:type="dxa"/>
            <w:shd w:val="clear" w:color="auto" w:fill="auto"/>
          </w:tcPr>
          <w:p w:rsidR="00A522B0" w:rsidRPr="00485E53" w:rsidRDefault="00A522B0" w:rsidP="00A522B0">
            <w:pPr>
              <w:pStyle w:val="Antrats"/>
              <w:tabs>
                <w:tab w:val="clear" w:pos="4153"/>
                <w:tab w:val="clear" w:pos="8306"/>
                <w:tab w:val="left" w:pos="993"/>
              </w:tabs>
              <w:jc w:val="center"/>
              <w:rPr>
                <w:bCs/>
                <w:color w:val="000000"/>
                <w:szCs w:val="24"/>
              </w:rPr>
            </w:pPr>
            <w:r>
              <w:rPr>
                <w:bCs/>
                <w:color w:val="000000"/>
                <w:szCs w:val="24"/>
              </w:rPr>
              <w:t>40</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70–90</w:t>
            </w:r>
          </w:p>
        </w:tc>
      </w:tr>
    </w:tbl>
    <w:p w:rsidR="00147957" w:rsidRDefault="00147957" w:rsidP="00147957">
      <w:pPr>
        <w:pStyle w:val="Antrats"/>
        <w:tabs>
          <w:tab w:val="clear" w:pos="4153"/>
          <w:tab w:val="clear" w:pos="8306"/>
          <w:tab w:val="left" w:pos="993"/>
        </w:tabs>
        <w:ind w:firstLine="720"/>
        <w:jc w:val="both"/>
        <w:rPr>
          <w:bCs/>
          <w:color w:val="000000"/>
          <w:szCs w:val="24"/>
        </w:rPr>
      </w:pPr>
    </w:p>
    <w:p w:rsidR="00147957" w:rsidRDefault="00147957" w:rsidP="00147957">
      <w:pPr>
        <w:pStyle w:val="Antrats"/>
        <w:tabs>
          <w:tab w:val="clear" w:pos="4153"/>
          <w:tab w:val="clear" w:pos="8306"/>
        </w:tabs>
        <w:ind w:firstLine="720"/>
        <w:jc w:val="both"/>
      </w:pPr>
      <w:r>
        <w:rPr>
          <w:szCs w:val="24"/>
        </w:rPr>
        <w:t xml:space="preserve">Viešųjų įstaigų vadovams gali būti nustatyta ne didesnė nei </w:t>
      </w:r>
      <w:r>
        <w:rPr>
          <w:b/>
          <w:szCs w:val="24"/>
        </w:rPr>
        <w:t>40 procentų</w:t>
      </w:r>
      <w:r>
        <w:rPr>
          <w:szCs w:val="24"/>
        </w:rPr>
        <w:t xml:space="preserve"> mėnesinės algos kintamoji dalis, jei praėjusių metų įstaigos veiklos finansiniai rezultatai yra teigiami. </w:t>
      </w:r>
      <w:r w:rsidR="005665AC">
        <w:rPr>
          <w:szCs w:val="24"/>
        </w:rPr>
        <w:t>VšĮ Pasvalio ligoninė</w:t>
      </w:r>
      <w:r w:rsidRPr="0055648F">
        <w:t xml:space="preserve"> 201</w:t>
      </w:r>
      <w:r>
        <w:t>8</w:t>
      </w:r>
      <w:r w:rsidRPr="0055648F">
        <w:t xml:space="preserve"> metus baigė turėdama teigiamą finansinį rezultatą </w:t>
      </w:r>
      <w:r>
        <w:rPr>
          <w:lang w:val="es-ES_tradnl"/>
        </w:rPr>
        <w:t>+</w:t>
      </w:r>
      <w:r w:rsidR="00393039">
        <w:rPr>
          <w:lang w:val="es-ES_tradnl"/>
        </w:rPr>
        <w:t>4 360</w:t>
      </w:r>
      <w:r>
        <w:t xml:space="preserve"> </w:t>
      </w:r>
      <w:r w:rsidRPr="0055648F">
        <w:t>Eur</w:t>
      </w:r>
      <w:r>
        <w:t>.</w:t>
      </w:r>
    </w:p>
    <w:p w:rsidR="00147957" w:rsidRDefault="00147957" w:rsidP="00147957">
      <w:pPr>
        <w:pStyle w:val="Antrats"/>
        <w:tabs>
          <w:tab w:val="clear" w:pos="4153"/>
          <w:tab w:val="clear" w:pos="8306"/>
        </w:tabs>
        <w:ind w:firstLine="720"/>
        <w:jc w:val="both"/>
        <w:rPr>
          <w:szCs w:val="24"/>
        </w:rPr>
      </w:pPr>
      <w:r>
        <w:t>Į</w:t>
      </w:r>
      <w:r w:rsidRPr="0055648F">
        <w:t>staigos veiklos užduočių įgyvendinimas už 201</w:t>
      </w:r>
      <w:r>
        <w:t>8</w:t>
      </w:r>
      <w:r w:rsidRPr="0055648F">
        <w:t xml:space="preserve"> m.</w:t>
      </w:r>
      <w:r>
        <w:t xml:space="preserve">, pagal </w:t>
      </w:r>
      <w:r w:rsidRPr="0055648F">
        <w:t xml:space="preserve"> </w:t>
      </w:r>
      <w:r>
        <w:rPr>
          <w:color w:val="000000"/>
          <w:szCs w:val="24"/>
          <w:lang w:eastAsia="lt-LT"/>
        </w:rPr>
        <w:t>L</w:t>
      </w:r>
      <w:r>
        <w:rPr>
          <w:bCs/>
          <w:color w:val="000000"/>
          <w:szCs w:val="24"/>
        </w:rPr>
        <w:t xml:space="preserve">ietuvos nacionalinės sveikatos sistemos viešųjų ir biudžetinių įstaigų, teikiančių asmens sveikatos priežiūros paslaugas, veiklos rezultatų vertinimo rodiklių 2018 metų siektinas reikšmes, patvirtintas </w:t>
      </w:r>
      <w:r>
        <w:rPr>
          <w:szCs w:val="24"/>
        </w:rPr>
        <w:t xml:space="preserve">Lietuvos Respublikos sveikatos apsaugos ministro 2018 m. gegužės 9 d. įsakymu Nr. V-554,  </w:t>
      </w:r>
      <w:r w:rsidRPr="0055648F">
        <w:t>pateikiamas pridedamoje lentelėje.</w:t>
      </w:r>
    </w:p>
    <w:p w:rsidR="00147957" w:rsidRDefault="00147957" w:rsidP="00393039">
      <w:pPr>
        <w:pStyle w:val="Antrats"/>
        <w:tabs>
          <w:tab w:val="clear" w:pos="4153"/>
          <w:tab w:val="clear" w:pos="8306"/>
        </w:tabs>
        <w:jc w:val="both"/>
      </w:pPr>
    </w:p>
    <w:p w:rsidR="0093056B" w:rsidRDefault="0093056B">
      <w:pPr>
        <w:ind w:left="720"/>
        <w:jc w:val="both"/>
        <w:rPr>
          <w:bCs/>
          <w:i/>
          <w:color w:val="FF0000"/>
          <w:szCs w:val="24"/>
        </w:rPr>
      </w:pPr>
      <w:bookmarkStart w:id="6" w:name="part_e7d022226c854a6bac087ade09ebb316"/>
      <w:bookmarkStart w:id="7" w:name="part_10ee3c573d654dd597bdb4f00934c08c"/>
      <w:bookmarkStart w:id="8" w:name="part_388a61ca73024aa883bbe3689f12306d"/>
      <w:bookmarkStart w:id="9" w:name="part_5ca3212ce6db4eda963981444604b1e6"/>
      <w:bookmarkStart w:id="10" w:name="part_26d0ebb0a3e549d5b39db2aecfcf50d8"/>
      <w:bookmarkStart w:id="11" w:name="part_93622d2094e34676815b8e0c17293b5d"/>
      <w:bookmarkStart w:id="12" w:name="part_4ba68aad8f2c42f2a22965271eef1504"/>
      <w:bookmarkStart w:id="13" w:name="part_39fe08525d164f309fc65cc2728c4875"/>
      <w:bookmarkStart w:id="14" w:name="part_f72808a104734bbd8d0912fcb9085686"/>
      <w:bookmarkStart w:id="15" w:name="part_17550e5b99fb44da9b0a8b52bebdadf7"/>
      <w:bookmarkEnd w:id="6"/>
      <w:bookmarkEnd w:id="7"/>
      <w:bookmarkEnd w:id="8"/>
      <w:bookmarkEnd w:id="9"/>
      <w:bookmarkEnd w:id="10"/>
      <w:bookmarkEnd w:id="11"/>
      <w:bookmarkEnd w:id="12"/>
      <w:bookmarkEnd w:id="13"/>
      <w:bookmarkEnd w:id="14"/>
      <w:bookmarkEnd w:id="15"/>
      <w:r>
        <w:rPr>
          <w:b/>
          <w:bCs/>
          <w:szCs w:val="24"/>
        </w:rPr>
        <w:t xml:space="preserve">2. Kokios siūlomos naujos teisinio reguliavimo nuostatos ir kokių rezultatų laukiama </w:t>
      </w:r>
    </w:p>
    <w:p w:rsidR="0093056B" w:rsidRDefault="0093056B">
      <w:pPr>
        <w:ind w:firstLine="720"/>
        <w:jc w:val="both"/>
        <w:rPr>
          <w:szCs w:val="24"/>
        </w:rPr>
      </w:pPr>
      <w:r>
        <w:rPr>
          <w:szCs w:val="24"/>
        </w:rPr>
        <w:t>Priimtas sprendimo  projektas įtakos korupcijai neturės. </w:t>
      </w:r>
    </w:p>
    <w:p w:rsidR="0093056B" w:rsidRDefault="0093056B">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93056B" w:rsidRDefault="0093056B">
      <w:pPr>
        <w:autoSpaceDE w:val="0"/>
        <w:autoSpaceDN w:val="0"/>
        <w:adjustRightInd w:val="0"/>
        <w:ind w:firstLine="720"/>
        <w:jc w:val="both"/>
        <w:rPr>
          <w:rFonts w:ascii="TimesNewRomanPSMT" w:hAnsi="TimesNewRomanPSMT" w:cs="TimesNewRomanPSMT"/>
          <w:szCs w:val="24"/>
        </w:rPr>
      </w:pPr>
      <w:r>
        <w:rPr>
          <w:szCs w:val="24"/>
          <w:lang w:eastAsia="lt-LT"/>
        </w:rPr>
        <w:t>Sprendimo įgyvendinimui bus naudojamos Privalomojo sveikatos draudimo lėšos.</w:t>
      </w:r>
    </w:p>
    <w:p w:rsidR="0093056B" w:rsidRDefault="0093056B">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93056B" w:rsidRDefault="0093056B">
      <w:pPr>
        <w:ind w:firstLine="731"/>
        <w:jc w:val="both"/>
        <w:rPr>
          <w:szCs w:val="24"/>
        </w:rPr>
      </w:pPr>
      <w:r>
        <w:rPr>
          <w:szCs w:val="24"/>
        </w:rPr>
        <w:t>Priėmus sprendimo  projektą, neigiamų pasekmių nenumatoma.</w:t>
      </w:r>
    </w:p>
    <w:p w:rsidR="0093056B" w:rsidRDefault="0093056B">
      <w:pPr>
        <w:ind w:firstLine="731"/>
        <w:jc w:val="both"/>
        <w:rPr>
          <w:b/>
          <w:bCs/>
          <w:szCs w:val="24"/>
        </w:rPr>
      </w:pPr>
      <w:r>
        <w:rPr>
          <w:b/>
          <w:bCs/>
          <w:szCs w:val="24"/>
        </w:rPr>
        <w:t xml:space="preserve">5. Jeigu sprendimui  įgyvendinti reikia įgyvendinamųjų teisės aktų, – kas ir kada juos turėtų priimti </w:t>
      </w:r>
    </w:p>
    <w:p w:rsidR="0093056B" w:rsidRDefault="0093056B">
      <w:pPr>
        <w:ind w:firstLine="731"/>
        <w:jc w:val="both"/>
        <w:rPr>
          <w:bCs/>
          <w:szCs w:val="24"/>
        </w:rPr>
      </w:pPr>
      <w:r>
        <w:rPr>
          <w:bCs/>
          <w:szCs w:val="24"/>
        </w:rPr>
        <w:t>Nereikia.</w:t>
      </w:r>
    </w:p>
    <w:p w:rsidR="0093056B" w:rsidRDefault="0093056B">
      <w:pPr>
        <w:ind w:firstLine="720"/>
        <w:jc w:val="both"/>
        <w:rPr>
          <w:b/>
          <w:szCs w:val="24"/>
        </w:rPr>
      </w:pPr>
      <w:r>
        <w:rPr>
          <w:b/>
          <w:szCs w:val="24"/>
        </w:rPr>
        <w:t xml:space="preserve">6.  Sprendimo projekto iniciatoriai </w:t>
      </w:r>
    </w:p>
    <w:p w:rsidR="0093056B" w:rsidRDefault="0093056B">
      <w:pPr>
        <w:pStyle w:val="Antrats"/>
        <w:tabs>
          <w:tab w:val="clear" w:pos="4153"/>
          <w:tab w:val="clear" w:pos="8306"/>
        </w:tabs>
        <w:ind w:firstLine="720"/>
        <w:jc w:val="both"/>
        <w:rPr>
          <w:bCs/>
        </w:rPr>
      </w:pPr>
      <w:r>
        <w:rPr>
          <w:bCs/>
        </w:rPr>
        <w:t xml:space="preserve">Socialinės paramos ir sveikatos skyriaus vyriausioji specialistė (Savivaldybės gydytoja).                                               </w:t>
      </w:r>
    </w:p>
    <w:p w:rsidR="0093056B" w:rsidRDefault="0093056B">
      <w:pPr>
        <w:ind w:firstLine="720"/>
        <w:jc w:val="both"/>
        <w:rPr>
          <w:b/>
          <w:bCs/>
          <w:szCs w:val="24"/>
        </w:rPr>
      </w:pPr>
      <w:r>
        <w:rPr>
          <w:b/>
          <w:bCs/>
          <w:szCs w:val="24"/>
        </w:rPr>
        <w:t xml:space="preserve">7. Sprendimo projekto rengimo metu gauti specialistų vertinimai ir išvados </w:t>
      </w:r>
    </w:p>
    <w:p w:rsidR="0093056B" w:rsidRDefault="0093056B">
      <w:pPr>
        <w:ind w:firstLine="709"/>
        <w:jc w:val="both"/>
      </w:pPr>
      <w:r>
        <w:t>Nėra.</w:t>
      </w:r>
    </w:p>
    <w:p w:rsidR="004223DD" w:rsidRDefault="004223DD">
      <w:pPr>
        <w:ind w:firstLine="709"/>
        <w:jc w:val="both"/>
      </w:pPr>
      <w:r>
        <w:t>PRIDEDAMA. VšĮ Pasvalio ligoninės raštas.</w:t>
      </w:r>
    </w:p>
    <w:p w:rsidR="0093056B" w:rsidRDefault="0093056B">
      <w:pPr>
        <w:jc w:val="both"/>
        <w:rPr>
          <w:sz w:val="16"/>
          <w:szCs w:val="16"/>
        </w:rPr>
      </w:pPr>
    </w:p>
    <w:p w:rsidR="0093056B" w:rsidRDefault="0093056B">
      <w:pPr>
        <w:jc w:val="both"/>
        <w:rPr>
          <w:sz w:val="16"/>
          <w:szCs w:val="16"/>
        </w:rPr>
      </w:pPr>
    </w:p>
    <w:p w:rsidR="0093056B" w:rsidRDefault="0093056B">
      <w:pPr>
        <w:jc w:val="both"/>
        <w:rPr>
          <w:sz w:val="16"/>
          <w:szCs w:val="16"/>
        </w:rPr>
      </w:pPr>
    </w:p>
    <w:p w:rsidR="0093056B" w:rsidRDefault="0093056B">
      <w:pPr>
        <w:pStyle w:val="Antrats"/>
        <w:tabs>
          <w:tab w:val="clear" w:pos="4153"/>
          <w:tab w:val="clear" w:pos="8306"/>
        </w:tabs>
        <w:jc w:val="both"/>
        <w:rPr>
          <w:bCs/>
        </w:rPr>
      </w:pPr>
      <w:r>
        <w:rPr>
          <w:bCs/>
        </w:rPr>
        <w:t>Socialinės paramos ir sveikatos skyriaus</w:t>
      </w:r>
    </w:p>
    <w:p w:rsidR="0093056B" w:rsidRDefault="0093056B">
      <w:pPr>
        <w:pStyle w:val="Antrats"/>
        <w:tabs>
          <w:tab w:val="clear" w:pos="4153"/>
          <w:tab w:val="clear" w:pos="8306"/>
        </w:tabs>
        <w:jc w:val="both"/>
        <w:rPr>
          <w:bCs/>
        </w:rPr>
      </w:pPr>
      <w:r>
        <w:rPr>
          <w:bCs/>
        </w:rPr>
        <w:t>vyriausioji specialistė (Savivaldybės gydytoja)                                               Dalia Vasiliūnienė</w:t>
      </w:r>
    </w:p>
    <w:p w:rsidR="0093056B" w:rsidRDefault="0093056B"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EC03D4" w:rsidRDefault="00EC03D4"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Pr="00393039" w:rsidRDefault="00393039" w:rsidP="00393039">
      <w:pPr>
        <w:jc w:val="center"/>
        <w:rPr>
          <w:b/>
          <w:bCs/>
          <w:caps/>
          <w:color w:val="000000"/>
          <w:szCs w:val="24"/>
        </w:rPr>
      </w:pPr>
      <w:r w:rsidRPr="00393039">
        <w:rPr>
          <w:b/>
          <w:bCs/>
          <w:caps/>
          <w:color w:val="000000"/>
          <w:szCs w:val="24"/>
        </w:rPr>
        <w:lastRenderedPageBreak/>
        <w:t>LIETUVOS NACIONALINĖS SVEIKATOS SISTEMOS VIEŠŲJŲ IR BIUDŽETINIŲ ĮSTAIGŲ, TEIKIANČIŲ ASMENS SVEIKATOS PRIEŽIŪROS PASLAUGAS, VEIKLOS REZULTATŲ VERTINIMO RODIKLIŲ 2018 METŲ SIEKTINOS REIKŠMĖS</w:t>
      </w:r>
    </w:p>
    <w:p w:rsidR="0093056B" w:rsidRDefault="0093056B">
      <w:pPr>
        <w:ind w:left="720"/>
        <w:jc w:val="both"/>
        <w:rPr>
          <w:b/>
          <w:szCs w:val="24"/>
        </w:rPr>
      </w:pPr>
    </w:p>
    <w:p w:rsidR="00393039" w:rsidRDefault="00393039">
      <w:pPr>
        <w:spacing w:line="100" w:lineRule="atLeast"/>
        <w:jc w:val="center"/>
        <w:rPr>
          <w:b/>
          <w:szCs w:val="24"/>
        </w:rPr>
      </w:pPr>
    </w:p>
    <w:p w:rsidR="00393039" w:rsidRDefault="00393039">
      <w:pPr>
        <w:spacing w:line="100" w:lineRule="atLeast"/>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724"/>
        <w:gridCol w:w="2410"/>
        <w:gridCol w:w="1985"/>
        <w:gridCol w:w="711"/>
        <w:gridCol w:w="711"/>
        <w:tblGridChange w:id="16">
          <w:tblGrid>
            <w:gridCol w:w="786"/>
            <w:gridCol w:w="2724"/>
            <w:gridCol w:w="2410"/>
            <w:gridCol w:w="1985"/>
            <w:gridCol w:w="711"/>
            <w:gridCol w:w="711"/>
          </w:tblGrid>
        </w:tblGridChange>
      </w:tblGrid>
      <w:tr w:rsidR="00393039" w:rsidRPr="00EE52C0" w:rsidTr="00485E53">
        <w:tc>
          <w:tcPr>
            <w:tcW w:w="786" w:type="dxa"/>
            <w:tcBorders>
              <w:top w:val="single" w:sz="4" w:space="0" w:color="auto"/>
            </w:tcBorders>
            <w:shd w:val="clear" w:color="auto" w:fill="auto"/>
            <w:vAlign w:val="center"/>
          </w:tcPr>
          <w:p w:rsidR="00393039" w:rsidRPr="004F7968" w:rsidRDefault="00393039" w:rsidP="00485E53">
            <w:pPr>
              <w:jc w:val="center"/>
              <w:rPr>
                <w:b/>
                <w:bCs/>
                <w:color w:val="000000"/>
                <w:lang w:eastAsia="lt-LT"/>
              </w:rPr>
            </w:pPr>
            <w:r w:rsidRPr="004F7968">
              <w:rPr>
                <w:b/>
                <w:bCs/>
                <w:color w:val="000000"/>
              </w:rPr>
              <w:t>Eil. Nr.</w:t>
            </w:r>
          </w:p>
        </w:tc>
        <w:tc>
          <w:tcPr>
            <w:tcW w:w="2724" w:type="dxa"/>
            <w:tcBorders>
              <w:top w:val="single" w:sz="4" w:space="0" w:color="auto"/>
            </w:tcBorders>
            <w:shd w:val="clear" w:color="auto" w:fill="auto"/>
            <w:vAlign w:val="center"/>
          </w:tcPr>
          <w:p w:rsidR="00393039" w:rsidRPr="004F7968" w:rsidRDefault="00393039" w:rsidP="00485E53">
            <w:pPr>
              <w:jc w:val="center"/>
              <w:rPr>
                <w:b/>
                <w:bCs/>
                <w:color w:val="000000"/>
              </w:rPr>
            </w:pPr>
            <w:r w:rsidRPr="004F7968">
              <w:rPr>
                <w:b/>
                <w:bCs/>
                <w:color w:val="000000"/>
              </w:rPr>
              <w:t>Veiklos rezultatų vertinimo rodikliai (toliau – rodiklis)</w:t>
            </w:r>
          </w:p>
        </w:tc>
        <w:tc>
          <w:tcPr>
            <w:tcW w:w="2410" w:type="dxa"/>
            <w:tcBorders>
              <w:top w:val="single" w:sz="4" w:space="0" w:color="auto"/>
            </w:tcBorders>
            <w:shd w:val="clear" w:color="auto" w:fill="auto"/>
            <w:vAlign w:val="center"/>
          </w:tcPr>
          <w:p w:rsidR="00CA4A0C" w:rsidRPr="00CA4A0C" w:rsidRDefault="00CA4A0C" w:rsidP="00CA4A0C">
            <w:pPr>
              <w:jc w:val="center"/>
              <w:rPr>
                <w:b/>
                <w:bCs/>
                <w:color w:val="000000"/>
                <w:szCs w:val="24"/>
              </w:rPr>
            </w:pPr>
            <w:r w:rsidRPr="00CA4A0C">
              <w:rPr>
                <w:b/>
                <w:bCs/>
                <w:color w:val="000000"/>
                <w:szCs w:val="24"/>
              </w:rPr>
              <w:t>Rajonų ir regionų lygmens Lietuvos nacionalinės sveikatos sistemos (toliau – LNSS) viešosios įstaigos*</w:t>
            </w:r>
            <w:r>
              <w:rPr>
                <w:b/>
                <w:bCs/>
                <w:color w:val="000000"/>
                <w:szCs w:val="24"/>
              </w:rPr>
              <w:t>\</w:t>
            </w:r>
          </w:p>
          <w:p w:rsidR="00393039" w:rsidRPr="004F7968" w:rsidRDefault="00393039" w:rsidP="00485E53">
            <w:pPr>
              <w:jc w:val="center"/>
              <w:rPr>
                <w:b/>
                <w:bCs/>
                <w:color w:val="000000"/>
              </w:rPr>
            </w:pPr>
            <w:r w:rsidRPr="004F7968">
              <w:rPr>
                <w:b/>
                <w:bCs/>
                <w:color w:val="000000"/>
              </w:rPr>
              <w:t xml:space="preserve"> (siektina reikšmė)</w:t>
            </w:r>
          </w:p>
        </w:tc>
        <w:tc>
          <w:tcPr>
            <w:tcW w:w="1985" w:type="dxa"/>
            <w:shd w:val="clear" w:color="auto" w:fill="auto"/>
          </w:tcPr>
          <w:p w:rsidR="00393039" w:rsidRPr="004F7968" w:rsidRDefault="00393039" w:rsidP="00485E53">
            <w:pPr>
              <w:jc w:val="center"/>
              <w:rPr>
                <w:b/>
              </w:rPr>
            </w:pPr>
          </w:p>
          <w:p w:rsidR="00393039" w:rsidRPr="004F7968" w:rsidRDefault="00393039" w:rsidP="00485E53">
            <w:pPr>
              <w:jc w:val="center"/>
              <w:rPr>
                <w:b/>
              </w:rPr>
            </w:pPr>
          </w:p>
          <w:p w:rsidR="00393039" w:rsidRDefault="00393039" w:rsidP="00485E53">
            <w:pPr>
              <w:jc w:val="center"/>
              <w:rPr>
                <w:b/>
              </w:rPr>
            </w:pPr>
            <w:r w:rsidRPr="004F7968">
              <w:rPr>
                <w:b/>
              </w:rPr>
              <w:t>Pasiekti rezultatai 2018 m.</w:t>
            </w:r>
          </w:p>
          <w:p w:rsidR="00393039" w:rsidRPr="004F7968" w:rsidRDefault="00393039" w:rsidP="00485E53">
            <w:pPr>
              <w:jc w:val="center"/>
              <w:rPr>
                <w:b/>
              </w:rPr>
            </w:pPr>
            <w:r>
              <w:rPr>
                <w:b/>
              </w:rPr>
              <w:t xml:space="preserve">VšĮ Pasvalio </w:t>
            </w:r>
            <w:r w:rsidR="00CA4A0C">
              <w:rPr>
                <w:b/>
              </w:rPr>
              <w:t>ligoninė</w:t>
            </w:r>
          </w:p>
        </w:tc>
        <w:tc>
          <w:tcPr>
            <w:tcW w:w="1422" w:type="dxa"/>
            <w:gridSpan w:val="2"/>
          </w:tcPr>
          <w:p w:rsidR="00393039" w:rsidRDefault="00393039" w:rsidP="00485E53">
            <w:pPr>
              <w:jc w:val="center"/>
              <w:rPr>
                <w:b/>
              </w:rPr>
            </w:pPr>
          </w:p>
          <w:p w:rsidR="00393039" w:rsidRDefault="00393039" w:rsidP="00485E53">
            <w:pPr>
              <w:jc w:val="center"/>
              <w:rPr>
                <w:b/>
              </w:rPr>
            </w:pPr>
          </w:p>
          <w:p w:rsidR="00393039" w:rsidRDefault="00393039" w:rsidP="00485E53">
            <w:pPr>
              <w:jc w:val="center"/>
              <w:rPr>
                <w:b/>
              </w:rPr>
            </w:pPr>
          </w:p>
          <w:p w:rsidR="00393039" w:rsidRPr="004F7968" w:rsidRDefault="00393039" w:rsidP="00485E53">
            <w:pPr>
              <w:jc w:val="center"/>
              <w:rPr>
                <w:b/>
              </w:rPr>
            </w:pPr>
            <w:r>
              <w:rPr>
                <w:b/>
              </w:rPr>
              <w:t>Vertinimas balais</w:t>
            </w:r>
          </w:p>
        </w:tc>
      </w:tr>
      <w:tr w:rsidR="00393039" w:rsidRPr="00EE52C0" w:rsidTr="00485E53">
        <w:tc>
          <w:tcPr>
            <w:tcW w:w="7905" w:type="dxa"/>
            <w:gridSpan w:val="4"/>
            <w:tcBorders>
              <w:top w:val="single" w:sz="4" w:space="0" w:color="auto"/>
            </w:tcBorders>
            <w:shd w:val="clear" w:color="auto" w:fill="auto"/>
            <w:vAlign w:val="center"/>
          </w:tcPr>
          <w:p w:rsidR="00393039" w:rsidRPr="004F7968" w:rsidRDefault="00393039" w:rsidP="00485E53">
            <w:pPr>
              <w:rPr>
                <w:b/>
              </w:rPr>
            </w:pPr>
            <w:r w:rsidRPr="004F7968">
              <w:rPr>
                <w:b/>
              </w:rPr>
              <w:t>I</w:t>
            </w:r>
            <w:r w:rsidRPr="004F7968">
              <w:rPr>
                <w:b/>
              </w:rPr>
              <w:tab/>
              <w:t>Veiklos finansinių rezultatų vertinimo rodikliai:</w:t>
            </w:r>
          </w:p>
        </w:tc>
        <w:tc>
          <w:tcPr>
            <w:tcW w:w="1422" w:type="dxa"/>
            <w:gridSpan w:val="2"/>
            <w:tcBorders>
              <w:top w:val="single" w:sz="4" w:space="0" w:color="auto"/>
            </w:tcBorders>
          </w:tcPr>
          <w:p w:rsidR="00393039" w:rsidRPr="004F7968" w:rsidRDefault="00393039" w:rsidP="00485E53">
            <w:pPr>
              <w:rPr>
                <w:b/>
              </w:rPr>
            </w:pPr>
          </w:p>
        </w:tc>
      </w:tr>
      <w:tr w:rsidR="00393039" w:rsidRPr="00EE52C0" w:rsidTr="00485E53">
        <w:tc>
          <w:tcPr>
            <w:tcW w:w="786" w:type="dxa"/>
            <w:shd w:val="clear" w:color="auto" w:fill="auto"/>
            <w:vAlign w:val="center"/>
          </w:tcPr>
          <w:p w:rsidR="00393039" w:rsidRPr="004F7968" w:rsidRDefault="00393039" w:rsidP="00485E53">
            <w:pPr>
              <w:jc w:val="center"/>
              <w:rPr>
                <w:color w:val="000000"/>
              </w:rPr>
            </w:pPr>
            <w:r w:rsidRPr="004F7968">
              <w:rPr>
                <w:color w:val="000000"/>
              </w:rPr>
              <w:t>1.</w:t>
            </w:r>
          </w:p>
        </w:tc>
        <w:tc>
          <w:tcPr>
            <w:tcW w:w="2724" w:type="dxa"/>
            <w:tcBorders>
              <w:bottom w:val="single" w:sz="4" w:space="0" w:color="auto"/>
            </w:tcBorders>
            <w:shd w:val="clear" w:color="auto" w:fill="auto"/>
            <w:vAlign w:val="center"/>
          </w:tcPr>
          <w:p w:rsidR="00393039" w:rsidRPr="004F7968" w:rsidRDefault="00393039" w:rsidP="00485E53">
            <w:pPr>
              <w:jc w:val="both"/>
              <w:rPr>
                <w:b/>
                <w:bCs/>
                <w:color w:val="000000"/>
              </w:rPr>
            </w:pPr>
            <w:r w:rsidRPr="004F7968">
              <w:rPr>
                <w:b/>
                <w:bCs/>
                <w:color w:val="000000"/>
              </w:rPr>
              <w:t>Įstaigos praėjusių metų veiklos rezultatų ataskaitoje nurodytas pajamų ir sąnaudų skirtumas (grynasis perviršis ar deficitas)</w:t>
            </w:r>
          </w:p>
        </w:tc>
        <w:tc>
          <w:tcPr>
            <w:tcW w:w="2410" w:type="dxa"/>
            <w:tcBorders>
              <w:bottom w:val="single" w:sz="4" w:space="0" w:color="auto"/>
            </w:tcBorders>
            <w:shd w:val="clear" w:color="auto" w:fill="auto"/>
            <w:vAlign w:val="center"/>
          </w:tcPr>
          <w:p w:rsidR="00393039" w:rsidRPr="004F7968" w:rsidRDefault="00393039" w:rsidP="00485E53">
            <w:pPr>
              <w:jc w:val="center"/>
              <w:rPr>
                <w:color w:val="000000"/>
              </w:rPr>
            </w:pPr>
            <w:r w:rsidRPr="004F7968">
              <w:rPr>
                <w:color w:val="000000"/>
              </w:rPr>
              <w:t>Būti nenuostolingai</w:t>
            </w:r>
          </w:p>
        </w:tc>
        <w:tc>
          <w:tcPr>
            <w:tcW w:w="1985" w:type="dxa"/>
            <w:shd w:val="clear" w:color="auto" w:fill="auto"/>
          </w:tcPr>
          <w:p w:rsidR="00393039" w:rsidRDefault="00393039" w:rsidP="00485E53">
            <w:r>
              <w:t xml:space="preserve">Perviršis </w:t>
            </w:r>
          </w:p>
          <w:p w:rsidR="00393039" w:rsidRPr="00EE52C0" w:rsidRDefault="00CA4A0C" w:rsidP="00485E53">
            <w:r>
              <w:t>4 360</w:t>
            </w:r>
            <w:r w:rsidR="00393039">
              <w:t xml:space="preserve"> Eur.</w:t>
            </w:r>
          </w:p>
        </w:tc>
        <w:tc>
          <w:tcPr>
            <w:tcW w:w="1422" w:type="dxa"/>
            <w:gridSpan w:val="2"/>
          </w:tcPr>
          <w:p w:rsidR="00393039" w:rsidRDefault="00393039" w:rsidP="00485E53">
            <w:r>
              <w:t>10</w:t>
            </w:r>
          </w:p>
        </w:tc>
      </w:tr>
      <w:tr w:rsidR="00393039" w:rsidRPr="00EE52C0" w:rsidTr="00485E53">
        <w:tc>
          <w:tcPr>
            <w:tcW w:w="786" w:type="dxa"/>
            <w:shd w:val="clear" w:color="auto" w:fill="auto"/>
            <w:vAlign w:val="center"/>
          </w:tcPr>
          <w:p w:rsidR="00393039" w:rsidRPr="00EE52C0" w:rsidRDefault="00393039" w:rsidP="00485E53">
            <w:pPr>
              <w:jc w:val="center"/>
            </w:pPr>
            <w:r w:rsidRPr="00EE52C0">
              <w:t>2.</w:t>
            </w:r>
          </w:p>
        </w:tc>
        <w:tc>
          <w:tcPr>
            <w:tcW w:w="2724" w:type="dxa"/>
            <w:tcBorders>
              <w:top w:val="single" w:sz="4" w:space="0" w:color="auto"/>
              <w:bottom w:val="single" w:sz="4" w:space="0" w:color="auto"/>
            </w:tcBorders>
            <w:shd w:val="clear" w:color="auto" w:fill="auto"/>
            <w:vAlign w:val="center"/>
          </w:tcPr>
          <w:p w:rsidR="00393039" w:rsidRPr="004F7968" w:rsidRDefault="00393039" w:rsidP="00485E53">
            <w:pPr>
              <w:jc w:val="both"/>
              <w:rPr>
                <w:b/>
              </w:rPr>
            </w:pPr>
            <w:r w:rsidRPr="004F7968">
              <w:rPr>
                <w:b/>
              </w:rPr>
              <w:t>Įstaigos sąnaudų darbo užmokesčiui dalis</w:t>
            </w:r>
            <w:r w:rsidRPr="004F7968">
              <w:rPr>
                <w:b/>
              </w:rPr>
              <w:tab/>
            </w:r>
            <w:r w:rsidRPr="004F7968">
              <w:rPr>
                <w:b/>
              </w:rPr>
              <w:tab/>
            </w:r>
          </w:p>
          <w:p w:rsidR="00393039" w:rsidRPr="009C1232" w:rsidRDefault="00393039" w:rsidP="00485E53">
            <w:pPr>
              <w:jc w:val="both"/>
            </w:pPr>
          </w:p>
        </w:tc>
        <w:tc>
          <w:tcPr>
            <w:tcW w:w="2410" w:type="dxa"/>
            <w:tcBorders>
              <w:top w:val="single" w:sz="4" w:space="0" w:color="auto"/>
              <w:bottom w:val="single" w:sz="4" w:space="0" w:color="auto"/>
            </w:tcBorders>
            <w:shd w:val="clear" w:color="auto" w:fill="auto"/>
            <w:vAlign w:val="center"/>
          </w:tcPr>
          <w:p w:rsidR="00393039" w:rsidRDefault="00393039" w:rsidP="00485E53">
            <w:pPr>
              <w:jc w:val="center"/>
            </w:pPr>
            <w:r w:rsidRPr="00EE52C0">
              <w:t>Panaudoti darbo užmokesčio fondui didinti gautas tikslines lėšas sveikatos priežiūros specialistų, teikiančių asmens sveikatos priežiūros paslaugas, darbo užmokesčiui kelti vidutiniškai 20 proc., prioritetą teikiant mažiausiai uždirbantiems specialistams</w:t>
            </w:r>
            <w:r>
              <w:t>.</w:t>
            </w:r>
          </w:p>
          <w:p w:rsidR="00393039" w:rsidRPr="00EE52C0" w:rsidRDefault="00393039" w:rsidP="00485E53">
            <w:pPr>
              <w:jc w:val="center"/>
            </w:pPr>
            <w:r w:rsidRPr="009C1232">
              <w:t>Racionaliai naudoti darbo užmokesčiui skirtas lėšas, neviršijant patvirtinto darbo užmokesčio normatyvo (</w:t>
            </w:r>
            <w:r w:rsidR="00CA4A0C">
              <w:t>60</w:t>
            </w:r>
            <w:r w:rsidRPr="009C1232">
              <w:t xml:space="preserve"> proc.)</w:t>
            </w:r>
          </w:p>
        </w:tc>
        <w:tc>
          <w:tcPr>
            <w:tcW w:w="1985" w:type="dxa"/>
            <w:shd w:val="clear" w:color="auto" w:fill="auto"/>
          </w:tcPr>
          <w:p w:rsidR="003E259A" w:rsidRDefault="003E259A" w:rsidP="003E259A">
            <w:r w:rsidRPr="00C726FF">
              <w:t xml:space="preserve">Padidintas darbo užmokestis sveikatos priežiūros specialistams vidutiniškai </w:t>
            </w:r>
            <w:r w:rsidR="00862CCC">
              <w:t>16</w:t>
            </w:r>
            <w:r w:rsidR="00E67D60">
              <w:t xml:space="preserve">,5 </w:t>
            </w:r>
            <w:r w:rsidRPr="00C726FF">
              <w:t>proc.</w:t>
            </w:r>
            <w:r w:rsidR="00862CCC">
              <w:t xml:space="preserve"> </w:t>
            </w:r>
          </w:p>
          <w:p w:rsidR="00913BF9" w:rsidRDefault="00913BF9" w:rsidP="003E259A">
            <w:r>
              <w:t>(siektinos reik</w:t>
            </w:r>
            <w:r w:rsidR="006A6149">
              <w:t>š</w:t>
            </w:r>
            <w:r>
              <w:t>mės įvykdymas 82,5 proc.)</w:t>
            </w:r>
          </w:p>
          <w:p w:rsidR="003E259A" w:rsidRDefault="003E259A" w:rsidP="003E259A"/>
          <w:p w:rsidR="003E259A" w:rsidRDefault="003E259A" w:rsidP="003E259A">
            <w:r w:rsidRPr="00C726FF">
              <w:t>Įstaigos sąnaudų darbo užmokesčiui dalis</w:t>
            </w:r>
            <w:r>
              <w:t xml:space="preserve"> </w:t>
            </w:r>
          </w:p>
          <w:p w:rsidR="00393039" w:rsidRDefault="00CA4A0C" w:rsidP="00485E53">
            <w:r>
              <w:rPr>
                <w:szCs w:val="24"/>
              </w:rPr>
              <w:t>57,7</w:t>
            </w:r>
            <w:r w:rsidR="00393039">
              <w:t xml:space="preserve"> proc.</w:t>
            </w:r>
          </w:p>
          <w:p w:rsidR="00393039" w:rsidRPr="00EE52C0" w:rsidRDefault="00393039" w:rsidP="00485E53"/>
        </w:tc>
        <w:tc>
          <w:tcPr>
            <w:tcW w:w="1422" w:type="dxa"/>
            <w:gridSpan w:val="2"/>
          </w:tcPr>
          <w:p w:rsidR="00393039" w:rsidRDefault="00393039" w:rsidP="00485E53">
            <w:r>
              <w:t>10</w:t>
            </w:r>
          </w:p>
        </w:tc>
      </w:tr>
      <w:tr w:rsidR="00CA4A0C" w:rsidRPr="00EE52C0" w:rsidTr="00485E53">
        <w:tc>
          <w:tcPr>
            <w:tcW w:w="786" w:type="dxa"/>
            <w:shd w:val="clear" w:color="auto" w:fill="auto"/>
            <w:vAlign w:val="center"/>
          </w:tcPr>
          <w:p w:rsidR="00CA4A0C" w:rsidRPr="00EE52C0" w:rsidRDefault="00CA4A0C" w:rsidP="00CA4A0C">
            <w:pPr>
              <w:jc w:val="center"/>
            </w:pPr>
            <w:r w:rsidRPr="00EE52C0">
              <w:t>3.</w:t>
            </w:r>
          </w:p>
        </w:tc>
        <w:tc>
          <w:tcPr>
            <w:tcW w:w="2724" w:type="dxa"/>
            <w:tcBorders>
              <w:top w:val="single" w:sz="4" w:space="0" w:color="auto"/>
              <w:bottom w:val="single" w:sz="4" w:space="0" w:color="auto"/>
            </w:tcBorders>
            <w:shd w:val="clear" w:color="auto" w:fill="auto"/>
            <w:vAlign w:val="center"/>
          </w:tcPr>
          <w:p w:rsidR="00CA4A0C" w:rsidRPr="004F7968" w:rsidRDefault="00CA4A0C" w:rsidP="00CA4A0C">
            <w:pPr>
              <w:jc w:val="both"/>
              <w:rPr>
                <w:b/>
              </w:rPr>
            </w:pPr>
            <w:r w:rsidRPr="004F7968">
              <w:rPr>
                <w:b/>
              </w:rPr>
              <w:t>Įstaigos sąnaudų valdymo išlaidoms dalis</w:t>
            </w:r>
            <w:r w:rsidRPr="004F7968">
              <w:rPr>
                <w:b/>
              </w:rPr>
              <w:tab/>
            </w:r>
            <w:r w:rsidRPr="004F7968">
              <w:rPr>
                <w:b/>
              </w:rPr>
              <w:tab/>
            </w:r>
          </w:p>
        </w:tc>
        <w:tc>
          <w:tcPr>
            <w:tcW w:w="2410" w:type="dxa"/>
            <w:tcBorders>
              <w:top w:val="single" w:sz="4" w:space="0" w:color="auto"/>
              <w:bottom w:val="single" w:sz="4" w:space="0" w:color="auto"/>
            </w:tcBorders>
            <w:shd w:val="clear" w:color="auto" w:fill="auto"/>
          </w:tcPr>
          <w:p w:rsidR="00CA4A0C" w:rsidRDefault="00CA4A0C" w:rsidP="00CA4A0C">
            <w:pPr>
              <w:jc w:val="center"/>
              <w:rPr>
                <w:szCs w:val="24"/>
              </w:rPr>
            </w:pPr>
            <w:r>
              <w:rPr>
                <w:szCs w:val="24"/>
              </w:rPr>
              <w:t>Įstaigos sąnaudų valdymo išlaidoms dalis  ne daugiau kaip 1,87 proc.</w:t>
            </w:r>
          </w:p>
        </w:tc>
        <w:tc>
          <w:tcPr>
            <w:tcW w:w="1985" w:type="dxa"/>
          </w:tcPr>
          <w:p w:rsidR="00CA4A0C" w:rsidRDefault="00CA4A0C" w:rsidP="00CA4A0C">
            <w:pPr>
              <w:rPr>
                <w:szCs w:val="24"/>
              </w:rPr>
            </w:pPr>
            <w:r>
              <w:rPr>
                <w:szCs w:val="24"/>
              </w:rPr>
              <w:t>1,85</w:t>
            </w:r>
          </w:p>
        </w:tc>
        <w:tc>
          <w:tcPr>
            <w:tcW w:w="1422" w:type="dxa"/>
            <w:gridSpan w:val="2"/>
          </w:tcPr>
          <w:p w:rsidR="00CA4A0C" w:rsidRPr="009D53F6" w:rsidRDefault="00CA4A0C" w:rsidP="00CA4A0C">
            <w:r>
              <w:t>10</w:t>
            </w:r>
          </w:p>
        </w:tc>
      </w:tr>
      <w:tr w:rsidR="00CA4A0C" w:rsidRPr="00EE52C0" w:rsidTr="00485E53">
        <w:tc>
          <w:tcPr>
            <w:tcW w:w="786" w:type="dxa"/>
            <w:shd w:val="clear" w:color="auto" w:fill="auto"/>
            <w:vAlign w:val="center"/>
          </w:tcPr>
          <w:p w:rsidR="00CA4A0C" w:rsidRPr="00EE52C0" w:rsidRDefault="00CA4A0C" w:rsidP="00CA4A0C">
            <w:pPr>
              <w:jc w:val="center"/>
            </w:pPr>
            <w:r w:rsidRPr="00EE52C0">
              <w:t>4.</w:t>
            </w:r>
          </w:p>
        </w:tc>
        <w:tc>
          <w:tcPr>
            <w:tcW w:w="2724" w:type="dxa"/>
            <w:tcBorders>
              <w:top w:val="single" w:sz="4" w:space="0" w:color="auto"/>
              <w:bottom w:val="single" w:sz="4" w:space="0" w:color="auto"/>
            </w:tcBorders>
            <w:shd w:val="clear" w:color="auto" w:fill="auto"/>
            <w:vAlign w:val="center"/>
          </w:tcPr>
          <w:p w:rsidR="00CA4A0C" w:rsidRPr="004F7968" w:rsidRDefault="00CA4A0C" w:rsidP="00CA4A0C">
            <w:pPr>
              <w:jc w:val="both"/>
              <w:rPr>
                <w:b/>
              </w:rPr>
            </w:pPr>
            <w:r w:rsidRPr="004F7968">
              <w:rPr>
                <w:b/>
              </w:rPr>
              <w:t>Įstaigos finansinių įsipareigojimų dalis nuo metinio įstaigos biudžeto</w:t>
            </w:r>
          </w:p>
        </w:tc>
        <w:tc>
          <w:tcPr>
            <w:tcW w:w="2410" w:type="dxa"/>
            <w:tcBorders>
              <w:top w:val="single" w:sz="4" w:space="0" w:color="auto"/>
              <w:bottom w:val="single" w:sz="4" w:space="0" w:color="auto"/>
            </w:tcBorders>
            <w:shd w:val="clear" w:color="auto" w:fill="auto"/>
            <w:vAlign w:val="center"/>
          </w:tcPr>
          <w:p w:rsidR="00CA4A0C" w:rsidRDefault="00CA4A0C" w:rsidP="00CA4A0C">
            <w:pPr>
              <w:jc w:val="center"/>
              <w:rPr>
                <w:szCs w:val="24"/>
              </w:rPr>
            </w:pPr>
            <w:r>
              <w:rPr>
                <w:szCs w:val="24"/>
              </w:rPr>
              <w:t>Absoliutaus likvidumo rodiklis – nuo 0,5 iki 1</w:t>
            </w:r>
          </w:p>
        </w:tc>
        <w:tc>
          <w:tcPr>
            <w:tcW w:w="1985" w:type="dxa"/>
          </w:tcPr>
          <w:p w:rsidR="00CA4A0C" w:rsidRDefault="004223DD" w:rsidP="00CA4A0C">
            <w:pPr>
              <w:rPr>
                <w:szCs w:val="24"/>
              </w:rPr>
            </w:pPr>
            <w:r>
              <w:rPr>
                <w:szCs w:val="24"/>
              </w:rPr>
              <w:t>0,85</w:t>
            </w:r>
          </w:p>
        </w:tc>
        <w:tc>
          <w:tcPr>
            <w:tcW w:w="1422" w:type="dxa"/>
            <w:gridSpan w:val="2"/>
          </w:tcPr>
          <w:p w:rsidR="00CA4A0C" w:rsidRDefault="004223DD" w:rsidP="00CA4A0C">
            <w:r>
              <w:t>10</w:t>
            </w:r>
          </w:p>
        </w:tc>
      </w:tr>
      <w:tr w:rsidR="00393039" w:rsidRPr="00EE52C0" w:rsidTr="00485E53">
        <w:tc>
          <w:tcPr>
            <w:tcW w:w="7905" w:type="dxa"/>
            <w:gridSpan w:val="4"/>
            <w:shd w:val="clear" w:color="auto" w:fill="auto"/>
            <w:vAlign w:val="center"/>
          </w:tcPr>
          <w:p w:rsidR="00393039" w:rsidRPr="004F7968" w:rsidRDefault="00393039" w:rsidP="00485E53">
            <w:pPr>
              <w:jc w:val="both"/>
              <w:rPr>
                <w:b/>
              </w:rPr>
            </w:pPr>
            <w:r w:rsidRPr="004F7968">
              <w:rPr>
                <w:b/>
              </w:rPr>
              <w:t>II</w:t>
            </w:r>
            <w:r w:rsidRPr="004F7968">
              <w:rPr>
                <w:b/>
              </w:rPr>
              <w:tab/>
              <w:t>Veiklos rezultatų vertinimo rodikliai:</w:t>
            </w:r>
          </w:p>
        </w:tc>
        <w:tc>
          <w:tcPr>
            <w:tcW w:w="1422" w:type="dxa"/>
            <w:gridSpan w:val="2"/>
          </w:tcPr>
          <w:p w:rsidR="00393039" w:rsidRPr="004F7968" w:rsidRDefault="00393039" w:rsidP="00485E53">
            <w:pPr>
              <w:jc w:val="both"/>
              <w:rPr>
                <w:b/>
              </w:rPr>
            </w:pPr>
          </w:p>
        </w:tc>
      </w:tr>
      <w:tr w:rsidR="00393039" w:rsidRPr="00EE52C0" w:rsidTr="00485E53">
        <w:tc>
          <w:tcPr>
            <w:tcW w:w="786" w:type="dxa"/>
            <w:shd w:val="clear" w:color="auto" w:fill="auto"/>
            <w:vAlign w:val="center"/>
          </w:tcPr>
          <w:p w:rsidR="00393039" w:rsidRPr="00EE52C0" w:rsidRDefault="00393039" w:rsidP="00485E53">
            <w:pPr>
              <w:jc w:val="center"/>
            </w:pPr>
            <w:r>
              <w:t>1</w:t>
            </w:r>
            <w:r w:rsidRPr="00EE52C0">
              <w:t>.</w:t>
            </w:r>
          </w:p>
        </w:tc>
        <w:tc>
          <w:tcPr>
            <w:tcW w:w="2724" w:type="dxa"/>
            <w:tcBorders>
              <w:bottom w:val="single" w:sz="4" w:space="0" w:color="auto"/>
            </w:tcBorders>
            <w:shd w:val="clear" w:color="auto" w:fill="auto"/>
            <w:vAlign w:val="center"/>
          </w:tcPr>
          <w:p w:rsidR="00393039" w:rsidRPr="004F7968" w:rsidRDefault="00393039" w:rsidP="00485E53">
            <w:pPr>
              <w:jc w:val="both"/>
              <w:rPr>
                <w:b/>
              </w:rPr>
            </w:pPr>
            <w:r w:rsidRPr="004F7968">
              <w:rPr>
                <w:b/>
              </w:rPr>
              <w:t xml:space="preserve">Įstaigoje taikomos kovos su korupcija priemonės, numatytos </w:t>
            </w:r>
            <w:r w:rsidRPr="004F7968">
              <w:rPr>
                <w:b/>
              </w:rPr>
              <w:lastRenderedPageBreak/>
              <w:t>sveikatos apsaugos ministro tvirtinamoje Sveikatos priežiūros srities korupcijos prevencijos programoje</w:t>
            </w:r>
          </w:p>
        </w:tc>
        <w:tc>
          <w:tcPr>
            <w:tcW w:w="2410" w:type="dxa"/>
            <w:tcBorders>
              <w:bottom w:val="single" w:sz="4" w:space="0" w:color="auto"/>
            </w:tcBorders>
            <w:shd w:val="clear" w:color="auto" w:fill="auto"/>
            <w:vAlign w:val="center"/>
          </w:tcPr>
          <w:p w:rsidR="00393039" w:rsidRPr="004F7968" w:rsidRDefault="00393039" w:rsidP="00485E53">
            <w:pPr>
              <w:jc w:val="center"/>
              <w:rPr>
                <w:color w:val="FF0000"/>
              </w:rPr>
            </w:pPr>
            <w:r w:rsidRPr="009D53F6">
              <w:lastRenderedPageBreak/>
              <w:t xml:space="preserve">Suteiktas Skaidrios asmens sveikatos priežiūros įstaigos </w:t>
            </w:r>
            <w:r w:rsidRPr="009D53F6">
              <w:lastRenderedPageBreak/>
              <w:t>vardas</w:t>
            </w:r>
          </w:p>
        </w:tc>
        <w:tc>
          <w:tcPr>
            <w:tcW w:w="1985" w:type="dxa"/>
            <w:shd w:val="clear" w:color="auto" w:fill="auto"/>
          </w:tcPr>
          <w:p w:rsidR="00393039" w:rsidRPr="009D53F6" w:rsidRDefault="00393039" w:rsidP="00485E53">
            <w:pPr>
              <w:rPr>
                <w:color w:val="FF0000"/>
              </w:rPr>
            </w:pPr>
            <w:r>
              <w:lastRenderedPageBreak/>
              <w:t>Korupcijos indeksas 1</w:t>
            </w:r>
            <w:r w:rsidR="00CA4A0C">
              <w:t>29</w:t>
            </w:r>
            <w:r>
              <w:t xml:space="preserve">, Įstaiga atitinka </w:t>
            </w:r>
            <w:r w:rsidRPr="009D53F6">
              <w:lastRenderedPageBreak/>
              <w:t>Skaidrios asmens sveikatos priežiūros įstaigos vard</w:t>
            </w:r>
            <w:r>
              <w:t>o suteikimo kriterijus</w:t>
            </w:r>
          </w:p>
        </w:tc>
        <w:tc>
          <w:tcPr>
            <w:tcW w:w="1422" w:type="dxa"/>
            <w:gridSpan w:val="2"/>
          </w:tcPr>
          <w:p w:rsidR="00393039" w:rsidRPr="009D53F6" w:rsidRDefault="00393039" w:rsidP="00485E53">
            <w:r>
              <w:lastRenderedPageBreak/>
              <w:t>10</w:t>
            </w:r>
          </w:p>
        </w:tc>
      </w:tr>
      <w:tr w:rsidR="00393039" w:rsidRPr="00EE52C0" w:rsidTr="00485E53">
        <w:tc>
          <w:tcPr>
            <w:tcW w:w="786" w:type="dxa"/>
            <w:tcBorders>
              <w:right w:val="single" w:sz="4" w:space="0" w:color="auto"/>
            </w:tcBorders>
            <w:shd w:val="clear" w:color="auto" w:fill="auto"/>
            <w:vAlign w:val="center"/>
          </w:tcPr>
          <w:p w:rsidR="00393039" w:rsidRPr="00EE52C0" w:rsidRDefault="00393039" w:rsidP="00485E53">
            <w:pPr>
              <w:jc w:val="center"/>
            </w:pPr>
            <w:r>
              <w:t>2</w:t>
            </w:r>
            <w:r w:rsidRPr="00EE52C0">
              <w:t>.</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rsidR="00393039" w:rsidRPr="004F7968" w:rsidRDefault="00393039" w:rsidP="00485E53">
            <w:pPr>
              <w:jc w:val="both"/>
              <w:rPr>
                <w:b/>
                <w:color w:val="FFFF00"/>
              </w:rPr>
            </w:pPr>
            <w:r w:rsidRPr="004F7968">
              <w:rPr>
                <w:b/>
              </w:rPr>
              <w:t>Konsoliduotų viešųjų pirkimų skaičius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3039" w:rsidRPr="00EE52C0" w:rsidRDefault="00393039" w:rsidP="00485E53">
            <w:pPr>
              <w:jc w:val="center"/>
            </w:pPr>
            <w:r w:rsidRPr="004F7968">
              <w:rPr>
                <w:color w:val="000000"/>
                <w:lang w:eastAsia="en-GB"/>
              </w:rPr>
              <w:t>Ne mažiau kaip 1</w:t>
            </w:r>
          </w:p>
        </w:tc>
        <w:tc>
          <w:tcPr>
            <w:tcW w:w="1985" w:type="dxa"/>
            <w:shd w:val="clear" w:color="auto" w:fill="auto"/>
          </w:tcPr>
          <w:p w:rsidR="00393039" w:rsidRPr="00EE52C0" w:rsidRDefault="00CA4A0C" w:rsidP="00485E53">
            <w:r>
              <w:t>Nebuvo</w:t>
            </w:r>
          </w:p>
        </w:tc>
        <w:tc>
          <w:tcPr>
            <w:tcW w:w="1422" w:type="dxa"/>
            <w:gridSpan w:val="2"/>
          </w:tcPr>
          <w:p w:rsidR="00393039" w:rsidRDefault="00CA4A0C" w:rsidP="00485E53">
            <w:r>
              <w:t>0</w:t>
            </w:r>
          </w:p>
        </w:tc>
      </w:tr>
      <w:tr w:rsidR="00393039" w:rsidRPr="00EE52C0" w:rsidTr="00485E53">
        <w:tc>
          <w:tcPr>
            <w:tcW w:w="786" w:type="dxa"/>
            <w:tcBorders>
              <w:top w:val="single" w:sz="4" w:space="0" w:color="auto"/>
              <w:bottom w:val="single" w:sz="4" w:space="0" w:color="auto"/>
            </w:tcBorders>
            <w:shd w:val="clear" w:color="auto" w:fill="auto"/>
            <w:vAlign w:val="center"/>
          </w:tcPr>
          <w:p w:rsidR="00393039" w:rsidRPr="00EE52C0" w:rsidRDefault="00393039" w:rsidP="00485E53">
            <w:pPr>
              <w:jc w:val="center"/>
            </w:pPr>
            <w:r>
              <w:t>3</w:t>
            </w:r>
            <w:r w:rsidRPr="00EE52C0">
              <w:t>.</w:t>
            </w:r>
          </w:p>
        </w:tc>
        <w:tc>
          <w:tcPr>
            <w:tcW w:w="2724" w:type="dxa"/>
            <w:tcBorders>
              <w:top w:val="single" w:sz="4" w:space="0" w:color="auto"/>
              <w:bottom w:val="single" w:sz="4" w:space="0" w:color="auto"/>
            </w:tcBorders>
            <w:shd w:val="clear" w:color="auto" w:fill="auto"/>
            <w:vAlign w:val="center"/>
          </w:tcPr>
          <w:p w:rsidR="00393039" w:rsidRPr="004F7968" w:rsidRDefault="00393039" w:rsidP="00485E53">
            <w:pPr>
              <w:jc w:val="both"/>
              <w:rPr>
                <w:b/>
              </w:rPr>
            </w:pPr>
            <w:r w:rsidRPr="004F7968">
              <w:rPr>
                <w:b/>
              </w:rPr>
              <w:t>Informacinių technologijų diegimo ir plėtros lygis (pacientų elektroninės registracijos sistema, įstaigos interneto svetainės išsamumas, darbuotojų darbo krūvio apskaita, įstaigos dalyvavimo elektroninėje sveikatos sistemoje mastas):</w:t>
            </w:r>
            <w:r w:rsidRPr="004F7968">
              <w:rPr>
                <w:b/>
              </w:rPr>
              <w:tab/>
            </w:r>
          </w:p>
        </w:tc>
        <w:tc>
          <w:tcPr>
            <w:tcW w:w="2410" w:type="dxa"/>
            <w:tcBorders>
              <w:top w:val="single" w:sz="4" w:space="0" w:color="auto"/>
              <w:bottom w:val="single" w:sz="4" w:space="0" w:color="auto"/>
            </w:tcBorders>
            <w:shd w:val="clear" w:color="auto" w:fill="auto"/>
            <w:vAlign w:val="center"/>
          </w:tcPr>
          <w:p w:rsidR="00393039" w:rsidRPr="00EE52C0" w:rsidRDefault="00393039" w:rsidP="00485E53">
            <w:pPr>
              <w:jc w:val="center"/>
            </w:pPr>
            <w:r w:rsidRPr="00EE52C0">
              <w:t>Ne mažiau kaip 50 proc. visų kompensuojamųjų vaistų ir medicinos pagalbos priemonių (toliau – MPP) receptų yra elektroniniai</w:t>
            </w:r>
          </w:p>
        </w:tc>
        <w:tc>
          <w:tcPr>
            <w:tcW w:w="1985" w:type="dxa"/>
            <w:shd w:val="clear" w:color="auto" w:fill="auto"/>
          </w:tcPr>
          <w:p w:rsidR="00393039" w:rsidRDefault="00393039" w:rsidP="00485E53"/>
          <w:p w:rsidR="00393039" w:rsidRDefault="00393039" w:rsidP="00485E53"/>
          <w:p w:rsidR="00393039" w:rsidRDefault="00393039" w:rsidP="00485E53"/>
          <w:p w:rsidR="00CA4A0C" w:rsidRDefault="00CA4A0C" w:rsidP="00485E53">
            <w:r>
              <w:t>Iš viso receptų: 4459</w:t>
            </w:r>
            <w:r w:rsidR="00C61251">
              <w:t xml:space="preserve">, </w:t>
            </w:r>
            <w:r>
              <w:t>iš jų elektroninių: 1738 (39 proc.</w:t>
            </w:r>
            <w:r w:rsidR="00C61251">
              <w:t>)</w:t>
            </w:r>
          </w:p>
          <w:p w:rsidR="008A294E" w:rsidRPr="009D53F6" w:rsidRDefault="00913BF9" w:rsidP="00485E53">
            <w:r>
              <w:t>(s</w:t>
            </w:r>
            <w:r w:rsidR="008A294E">
              <w:t>iektinos reik</w:t>
            </w:r>
            <w:r w:rsidR="006A6149">
              <w:t>š</w:t>
            </w:r>
            <w:r w:rsidR="008A294E">
              <w:t xml:space="preserve">mės įvykdymas </w:t>
            </w:r>
            <w:r w:rsidR="00BD03B7">
              <w:t>78 proc.</w:t>
            </w:r>
            <w:r>
              <w:t>)</w:t>
            </w:r>
          </w:p>
        </w:tc>
        <w:tc>
          <w:tcPr>
            <w:tcW w:w="1422" w:type="dxa"/>
            <w:gridSpan w:val="2"/>
          </w:tcPr>
          <w:p w:rsidR="00393039" w:rsidRDefault="004607EA" w:rsidP="00485E53">
            <w:r>
              <w:t>8</w:t>
            </w:r>
          </w:p>
        </w:tc>
      </w:tr>
      <w:tr w:rsidR="007E29AB" w:rsidRPr="00EE52C0" w:rsidTr="00B85AD5">
        <w:tc>
          <w:tcPr>
            <w:tcW w:w="786" w:type="dxa"/>
            <w:vMerge w:val="restart"/>
            <w:tcBorders>
              <w:top w:val="single" w:sz="4" w:space="0" w:color="auto"/>
            </w:tcBorders>
            <w:shd w:val="clear" w:color="auto" w:fill="auto"/>
            <w:vAlign w:val="center"/>
          </w:tcPr>
          <w:p w:rsidR="007E29AB" w:rsidRDefault="007E29AB" w:rsidP="00C61251">
            <w:pPr>
              <w:jc w:val="center"/>
            </w:pPr>
            <w:r>
              <w:t>4.</w:t>
            </w:r>
          </w:p>
        </w:tc>
        <w:tc>
          <w:tcPr>
            <w:tcW w:w="2724" w:type="dxa"/>
            <w:vMerge w:val="restart"/>
            <w:tcBorders>
              <w:top w:val="single" w:sz="4" w:space="0" w:color="auto"/>
            </w:tcBorders>
            <w:shd w:val="clear" w:color="auto" w:fill="auto"/>
            <w:vAlign w:val="center"/>
          </w:tcPr>
          <w:p w:rsidR="007E29AB" w:rsidRPr="004F7968" w:rsidRDefault="007E29AB" w:rsidP="00C61251">
            <w:pPr>
              <w:jc w:val="both"/>
              <w:rPr>
                <w:b/>
              </w:rPr>
            </w:pPr>
            <w:r>
              <w:rPr>
                <w:b/>
                <w:szCs w:val="24"/>
              </w:rPr>
              <w:t>Vidutinė hospitalizuotų pacientų gydymo trukmė įstaigoje pagal sveikatos apsaugos ministro nustatytas paslaugų grupes (taikoma tik antrinio ir tretinio lygio asmens sveikatos priežiūros paslaugas teikiančioms įstaigoms)</w:t>
            </w:r>
            <w:r>
              <w:rPr>
                <w:b/>
                <w:szCs w:val="24"/>
              </w:rPr>
              <w:tab/>
            </w:r>
          </w:p>
        </w:tc>
        <w:tc>
          <w:tcPr>
            <w:tcW w:w="2410" w:type="dxa"/>
            <w:shd w:val="clear" w:color="auto" w:fill="auto"/>
            <w:vAlign w:val="center"/>
          </w:tcPr>
          <w:p w:rsidR="007E29AB" w:rsidRDefault="007E29AB" w:rsidP="00C61251">
            <w:pPr>
              <w:jc w:val="center"/>
              <w:rPr>
                <w:szCs w:val="24"/>
              </w:rPr>
            </w:pPr>
            <w:r>
              <w:rPr>
                <w:szCs w:val="24"/>
              </w:rPr>
              <w:t>Vidutinė  chirurgijos paslaugų grupės gydymo trukmė – 7,4 dienos</w:t>
            </w:r>
          </w:p>
        </w:tc>
        <w:tc>
          <w:tcPr>
            <w:tcW w:w="1985" w:type="dxa"/>
          </w:tcPr>
          <w:p w:rsidR="007E29AB" w:rsidRDefault="004223DD" w:rsidP="00C61251">
            <w:pPr>
              <w:rPr>
                <w:szCs w:val="24"/>
              </w:rPr>
            </w:pPr>
            <w:r>
              <w:rPr>
                <w:szCs w:val="24"/>
              </w:rPr>
              <w:t>6</w:t>
            </w:r>
          </w:p>
        </w:tc>
        <w:tc>
          <w:tcPr>
            <w:tcW w:w="711" w:type="dxa"/>
          </w:tcPr>
          <w:p w:rsidR="007E29AB" w:rsidRDefault="004223DD" w:rsidP="00C61251">
            <w:r>
              <w:t>10</w:t>
            </w:r>
          </w:p>
        </w:tc>
        <w:tc>
          <w:tcPr>
            <w:tcW w:w="711" w:type="dxa"/>
            <w:vMerge w:val="restart"/>
          </w:tcPr>
          <w:p w:rsidR="007E29AB" w:rsidRDefault="004223DD" w:rsidP="00C61251">
            <w:r>
              <w:t>3,33</w:t>
            </w:r>
          </w:p>
        </w:tc>
      </w:tr>
      <w:tr w:rsidR="007E29AB" w:rsidRPr="00EE52C0" w:rsidTr="00B85AD5">
        <w:tc>
          <w:tcPr>
            <w:tcW w:w="786" w:type="dxa"/>
            <w:vMerge/>
            <w:shd w:val="clear" w:color="auto" w:fill="auto"/>
            <w:vAlign w:val="center"/>
          </w:tcPr>
          <w:p w:rsidR="007E29AB" w:rsidRDefault="007E29AB" w:rsidP="00C61251">
            <w:pPr>
              <w:jc w:val="center"/>
            </w:pPr>
          </w:p>
        </w:tc>
        <w:tc>
          <w:tcPr>
            <w:tcW w:w="2724" w:type="dxa"/>
            <w:vMerge/>
            <w:shd w:val="clear" w:color="auto" w:fill="auto"/>
            <w:vAlign w:val="center"/>
          </w:tcPr>
          <w:p w:rsidR="007E29AB" w:rsidRPr="004F7968" w:rsidRDefault="007E29AB" w:rsidP="00C61251">
            <w:pPr>
              <w:jc w:val="both"/>
              <w:rPr>
                <w:b/>
              </w:rPr>
            </w:pPr>
          </w:p>
        </w:tc>
        <w:tc>
          <w:tcPr>
            <w:tcW w:w="2410" w:type="dxa"/>
            <w:tcBorders>
              <w:bottom w:val="single" w:sz="4" w:space="0" w:color="auto"/>
            </w:tcBorders>
            <w:shd w:val="clear" w:color="auto" w:fill="auto"/>
            <w:vAlign w:val="center"/>
          </w:tcPr>
          <w:p w:rsidR="007E29AB" w:rsidRDefault="007E29AB" w:rsidP="00C61251">
            <w:pPr>
              <w:jc w:val="center"/>
              <w:rPr>
                <w:szCs w:val="24"/>
              </w:rPr>
            </w:pPr>
            <w:r>
              <w:rPr>
                <w:szCs w:val="24"/>
              </w:rPr>
              <w:t>Vidutinė terapijos paslaugų grupės gydymo trukmė – 6,5 dienos</w:t>
            </w:r>
          </w:p>
        </w:tc>
        <w:tc>
          <w:tcPr>
            <w:tcW w:w="1985" w:type="dxa"/>
          </w:tcPr>
          <w:p w:rsidR="007E29AB" w:rsidRDefault="007E29AB" w:rsidP="00C61251">
            <w:pPr>
              <w:rPr>
                <w:szCs w:val="24"/>
              </w:rPr>
            </w:pPr>
            <w:r>
              <w:rPr>
                <w:szCs w:val="24"/>
              </w:rPr>
              <w:t>10,9</w:t>
            </w:r>
          </w:p>
        </w:tc>
        <w:tc>
          <w:tcPr>
            <w:tcW w:w="711" w:type="dxa"/>
          </w:tcPr>
          <w:p w:rsidR="007E29AB" w:rsidRDefault="007E29AB" w:rsidP="00C61251">
            <w:r>
              <w:t>0</w:t>
            </w:r>
          </w:p>
        </w:tc>
        <w:tc>
          <w:tcPr>
            <w:tcW w:w="711" w:type="dxa"/>
            <w:vMerge/>
          </w:tcPr>
          <w:p w:rsidR="007E29AB" w:rsidRDefault="007E29AB" w:rsidP="00C61251"/>
        </w:tc>
      </w:tr>
      <w:tr w:rsidR="007E29AB" w:rsidRPr="00EE52C0" w:rsidTr="00B85AD5">
        <w:tc>
          <w:tcPr>
            <w:tcW w:w="786" w:type="dxa"/>
            <w:vMerge/>
            <w:tcBorders>
              <w:bottom w:val="single" w:sz="4" w:space="0" w:color="auto"/>
            </w:tcBorders>
            <w:shd w:val="clear" w:color="auto" w:fill="auto"/>
            <w:vAlign w:val="center"/>
          </w:tcPr>
          <w:p w:rsidR="007E29AB" w:rsidRDefault="007E29AB" w:rsidP="00C61251">
            <w:pPr>
              <w:jc w:val="center"/>
            </w:pPr>
          </w:p>
        </w:tc>
        <w:tc>
          <w:tcPr>
            <w:tcW w:w="2724" w:type="dxa"/>
            <w:vMerge/>
            <w:tcBorders>
              <w:bottom w:val="single" w:sz="4" w:space="0" w:color="auto"/>
            </w:tcBorders>
            <w:shd w:val="clear" w:color="auto" w:fill="auto"/>
            <w:vAlign w:val="center"/>
          </w:tcPr>
          <w:p w:rsidR="007E29AB" w:rsidRPr="004F7968" w:rsidRDefault="007E29AB" w:rsidP="00C61251">
            <w:pPr>
              <w:jc w:val="both"/>
              <w:rPr>
                <w:b/>
              </w:rPr>
            </w:pPr>
          </w:p>
        </w:tc>
        <w:tc>
          <w:tcPr>
            <w:tcW w:w="2410" w:type="dxa"/>
            <w:shd w:val="clear" w:color="auto" w:fill="auto"/>
            <w:vAlign w:val="center"/>
          </w:tcPr>
          <w:p w:rsidR="007E29AB" w:rsidRDefault="007E29AB" w:rsidP="00C61251">
            <w:pPr>
              <w:jc w:val="center"/>
              <w:rPr>
                <w:szCs w:val="24"/>
              </w:rPr>
            </w:pPr>
            <w:r>
              <w:rPr>
                <w:szCs w:val="24"/>
              </w:rPr>
              <w:t>Vidutinė psichiatrijos paslaugų grupės gydymo trukmė – 18,9 dienos</w:t>
            </w:r>
          </w:p>
        </w:tc>
        <w:tc>
          <w:tcPr>
            <w:tcW w:w="1985" w:type="dxa"/>
          </w:tcPr>
          <w:p w:rsidR="007E29AB" w:rsidRDefault="007E29AB" w:rsidP="00C61251">
            <w:pPr>
              <w:rPr>
                <w:szCs w:val="24"/>
              </w:rPr>
            </w:pPr>
            <w:r>
              <w:rPr>
                <w:szCs w:val="24"/>
              </w:rPr>
              <w:t>35,5</w:t>
            </w:r>
          </w:p>
        </w:tc>
        <w:tc>
          <w:tcPr>
            <w:tcW w:w="711" w:type="dxa"/>
          </w:tcPr>
          <w:p w:rsidR="007E29AB" w:rsidRDefault="007E29AB" w:rsidP="00C61251">
            <w:r>
              <w:t>0</w:t>
            </w:r>
          </w:p>
        </w:tc>
        <w:tc>
          <w:tcPr>
            <w:tcW w:w="711" w:type="dxa"/>
            <w:vMerge/>
          </w:tcPr>
          <w:p w:rsidR="007E29AB" w:rsidRDefault="007E29AB" w:rsidP="00C61251"/>
        </w:tc>
      </w:tr>
      <w:tr w:rsidR="00C61251" w:rsidRPr="00EE52C0" w:rsidTr="00485E53">
        <w:tc>
          <w:tcPr>
            <w:tcW w:w="786" w:type="dxa"/>
            <w:shd w:val="clear" w:color="auto" w:fill="auto"/>
            <w:vAlign w:val="center"/>
          </w:tcPr>
          <w:p w:rsidR="00C61251" w:rsidRDefault="00C61251" w:rsidP="00C61251">
            <w:pPr>
              <w:jc w:val="center"/>
              <w:rPr>
                <w:szCs w:val="24"/>
              </w:rPr>
            </w:pPr>
            <w:r>
              <w:rPr>
                <w:szCs w:val="24"/>
              </w:rPr>
              <w:t>5.</w:t>
            </w:r>
          </w:p>
        </w:tc>
        <w:tc>
          <w:tcPr>
            <w:tcW w:w="2724" w:type="dxa"/>
            <w:tcBorders>
              <w:top w:val="single" w:sz="4" w:space="0" w:color="auto"/>
              <w:bottom w:val="single" w:sz="4" w:space="0" w:color="auto"/>
            </w:tcBorders>
            <w:shd w:val="clear" w:color="auto" w:fill="auto"/>
          </w:tcPr>
          <w:p w:rsidR="00C61251" w:rsidRDefault="00C61251" w:rsidP="00C61251">
            <w:pPr>
              <w:jc w:val="both"/>
              <w:rPr>
                <w:b/>
                <w:szCs w:val="24"/>
              </w:rPr>
            </w:pPr>
            <w:r>
              <w:rPr>
                <w:b/>
                <w:szCs w:val="24"/>
              </w:rPr>
              <w:t>Lovos užimtumo rodiklis įstaigoje pagal sveikatos apsaugos ministro nustatytas paslaugų grupes (taikoma tik antrinio ir tretinio lygio asmens sveikatos priežiūros paslaugas teikiančioms įstaigoms)</w:t>
            </w:r>
          </w:p>
        </w:tc>
        <w:tc>
          <w:tcPr>
            <w:tcW w:w="2410" w:type="dxa"/>
            <w:tcBorders>
              <w:top w:val="single" w:sz="4" w:space="0" w:color="auto"/>
              <w:bottom w:val="single" w:sz="4" w:space="0" w:color="auto"/>
            </w:tcBorders>
            <w:shd w:val="clear" w:color="auto" w:fill="auto"/>
            <w:vAlign w:val="center"/>
          </w:tcPr>
          <w:p w:rsidR="00C61251" w:rsidRDefault="00C61251" w:rsidP="00C61251">
            <w:pPr>
              <w:jc w:val="center"/>
              <w:rPr>
                <w:szCs w:val="24"/>
              </w:rPr>
            </w:pPr>
            <w:r>
              <w:rPr>
                <w:szCs w:val="24"/>
              </w:rPr>
              <w:t xml:space="preserve">Aktyvaus gydymo – </w:t>
            </w:r>
          </w:p>
          <w:p w:rsidR="00C61251" w:rsidRDefault="00C61251" w:rsidP="00C61251">
            <w:pPr>
              <w:jc w:val="center"/>
              <w:rPr>
                <w:szCs w:val="24"/>
              </w:rPr>
            </w:pPr>
            <w:r>
              <w:rPr>
                <w:szCs w:val="24"/>
              </w:rPr>
              <w:t>300 d. / 82,2</w:t>
            </w:r>
            <w:r w:rsidR="00662577">
              <w:rPr>
                <w:szCs w:val="24"/>
              </w:rPr>
              <w:t xml:space="preserve"> proc.</w:t>
            </w:r>
          </w:p>
        </w:tc>
        <w:tc>
          <w:tcPr>
            <w:tcW w:w="1985" w:type="dxa"/>
          </w:tcPr>
          <w:p w:rsidR="00C61251" w:rsidRDefault="00C61251" w:rsidP="00C61251">
            <w:pPr>
              <w:rPr>
                <w:szCs w:val="24"/>
              </w:rPr>
            </w:pPr>
          </w:p>
          <w:p w:rsidR="00C61251" w:rsidRDefault="00C61251" w:rsidP="00C61251">
            <w:pPr>
              <w:rPr>
                <w:szCs w:val="24"/>
              </w:rPr>
            </w:pPr>
          </w:p>
          <w:p w:rsidR="00C61251" w:rsidRDefault="00C61251" w:rsidP="00C61251">
            <w:pPr>
              <w:rPr>
                <w:szCs w:val="24"/>
              </w:rPr>
            </w:pPr>
          </w:p>
          <w:p w:rsidR="00C61251" w:rsidRDefault="00C61251" w:rsidP="00C61251">
            <w:pPr>
              <w:rPr>
                <w:szCs w:val="24"/>
              </w:rPr>
            </w:pPr>
          </w:p>
          <w:p w:rsidR="00C61251" w:rsidRDefault="00C61251" w:rsidP="00C61251">
            <w:pPr>
              <w:rPr>
                <w:szCs w:val="24"/>
              </w:rPr>
            </w:pPr>
            <w:r>
              <w:rPr>
                <w:szCs w:val="24"/>
              </w:rPr>
              <w:t>352,9 d.</w:t>
            </w:r>
            <w:r w:rsidR="00662577">
              <w:rPr>
                <w:szCs w:val="24"/>
              </w:rPr>
              <w:t xml:space="preserve"> </w:t>
            </w:r>
            <w:r>
              <w:rPr>
                <w:szCs w:val="24"/>
              </w:rPr>
              <w:t>/</w:t>
            </w:r>
            <w:r w:rsidR="00B84119">
              <w:rPr>
                <w:szCs w:val="24"/>
              </w:rPr>
              <w:t xml:space="preserve"> </w:t>
            </w:r>
            <w:r>
              <w:rPr>
                <w:szCs w:val="24"/>
              </w:rPr>
              <w:t>96,</w:t>
            </w:r>
            <w:r w:rsidR="00662577">
              <w:rPr>
                <w:szCs w:val="24"/>
              </w:rPr>
              <w:t>4 proc.</w:t>
            </w:r>
          </w:p>
        </w:tc>
        <w:tc>
          <w:tcPr>
            <w:tcW w:w="1422" w:type="dxa"/>
            <w:gridSpan w:val="2"/>
          </w:tcPr>
          <w:p w:rsidR="00C61251" w:rsidRDefault="00C61251" w:rsidP="00C61251">
            <w:r>
              <w:t>10</w:t>
            </w:r>
          </w:p>
        </w:tc>
      </w:tr>
      <w:tr w:rsidR="00C61251" w:rsidRPr="00EE52C0" w:rsidTr="00485E53">
        <w:tc>
          <w:tcPr>
            <w:tcW w:w="786" w:type="dxa"/>
            <w:shd w:val="clear" w:color="auto" w:fill="auto"/>
            <w:vAlign w:val="center"/>
          </w:tcPr>
          <w:p w:rsidR="00C61251" w:rsidRDefault="00C61251" w:rsidP="00C61251">
            <w:pPr>
              <w:jc w:val="center"/>
              <w:rPr>
                <w:szCs w:val="24"/>
              </w:rPr>
            </w:pPr>
            <w:r>
              <w:rPr>
                <w:szCs w:val="24"/>
              </w:rPr>
              <w:t>6.</w:t>
            </w:r>
          </w:p>
        </w:tc>
        <w:tc>
          <w:tcPr>
            <w:tcW w:w="2724" w:type="dxa"/>
            <w:tcBorders>
              <w:top w:val="single" w:sz="4" w:space="0" w:color="auto"/>
              <w:bottom w:val="single" w:sz="4" w:space="0" w:color="auto"/>
            </w:tcBorders>
            <w:shd w:val="clear" w:color="auto" w:fill="auto"/>
          </w:tcPr>
          <w:p w:rsidR="00C61251" w:rsidRDefault="00C61251" w:rsidP="00C61251">
            <w:pPr>
              <w:jc w:val="both"/>
              <w:rPr>
                <w:b/>
                <w:szCs w:val="24"/>
              </w:rPr>
            </w:pPr>
            <w:r>
              <w:rPr>
                <w:b/>
                <w:szCs w:val="24"/>
              </w:rPr>
              <w:t xml:space="preserve">Įstaigoje iš Privalomojo sveikatos draudimo fondo biudžeto lėšų apmokėtų brangiųjų tyrimų ir procedūrų, kurių stebėsena atliekama, skaičius, medicinos priemonių, kuriomis atlikti brangieji tyrimai ir procedūros, </w:t>
            </w:r>
            <w:r>
              <w:rPr>
                <w:b/>
                <w:szCs w:val="24"/>
              </w:rPr>
              <w:lastRenderedPageBreak/>
              <w:t>panaudojimo efektyvumas (taikoma tik antrinio ir tretinio lygio asmens sveikatos priežiūros paslaugas teikiančioms įstaigoms)</w:t>
            </w:r>
          </w:p>
        </w:tc>
        <w:tc>
          <w:tcPr>
            <w:tcW w:w="2410" w:type="dxa"/>
            <w:tcBorders>
              <w:top w:val="single" w:sz="4" w:space="0" w:color="auto"/>
              <w:bottom w:val="single" w:sz="4" w:space="0" w:color="auto"/>
            </w:tcBorders>
            <w:shd w:val="clear" w:color="auto" w:fill="auto"/>
            <w:vAlign w:val="center"/>
          </w:tcPr>
          <w:p w:rsidR="00C61251" w:rsidRDefault="00C61251" w:rsidP="00C61251">
            <w:pPr>
              <w:jc w:val="center"/>
              <w:rPr>
                <w:szCs w:val="24"/>
              </w:rPr>
            </w:pPr>
            <w:r>
              <w:rPr>
                <w:szCs w:val="24"/>
              </w:rPr>
              <w:lastRenderedPageBreak/>
              <w:t>Ne mažiau kaip 30 kompiuterinės tomografijos tyrimų per vieną darbo dieną vienu kompiuterinės tomografijos aparatu</w:t>
            </w:r>
          </w:p>
        </w:tc>
        <w:tc>
          <w:tcPr>
            <w:tcW w:w="1985" w:type="dxa"/>
          </w:tcPr>
          <w:p w:rsidR="00C61251" w:rsidRDefault="00C61251" w:rsidP="00C61251">
            <w:pPr>
              <w:jc w:val="center"/>
              <w:rPr>
                <w:szCs w:val="24"/>
              </w:rPr>
            </w:pPr>
          </w:p>
          <w:p w:rsidR="00C61251" w:rsidRDefault="00C61251" w:rsidP="00662577">
            <w:pPr>
              <w:rPr>
                <w:szCs w:val="24"/>
              </w:rPr>
            </w:pPr>
          </w:p>
          <w:p w:rsidR="00C61251" w:rsidRDefault="00C61251" w:rsidP="00C61251">
            <w:pPr>
              <w:jc w:val="center"/>
              <w:rPr>
                <w:szCs w:val="24"/>
              </w:rPr>
            </w:pPr>
          </w:p>
          <w:p w:rsidR="00C61251" w:rsidRDefault="00C61251" w:rsidP="00C61251">
            <w:pPr>
              <w:jc w:val="center"/>
              <w:rPr>
                <w:szCs w:val="24"/>
              </w:rPr>
            </w:pPr>
            <w:r>
              <w:rPr>
                <w:szCs w:val="24"/>
              </w:rPr>
              <w:t>8</w:t>
            </w:r>
          </w:p>
          <w:p w:rsidR="008A294E" w:rsidRDefault="00662577" w:rsidP="00C61251">
            <w:pPr>
              <w:jc w:val="center"/>
              <w:rPr>
                <w:szCs w:val="24"/>
              </w:rPr>
            </w:pPr>
            <w:r>
              <w:t>(s</w:t>
            </w:r>
            <w:r w:rsidR="008A294E">
              <w:t>iektinos reik</w:t>
            </w:r>
            <w:r>
              <w:t>š</w:t>
            </w:r>
            <w:r w:rsidR="008A294E">
              <w:t>mės įvykdymas 27 proc.</w:t>
            </w:r>
            <w:r>
              <w:t>)</w:t>
            </w:r>
          </w:p>
        </w:tc>
        <w:tc>
          <w:tcPr>
            <w:tcW w:w="1422" w:type="dxa"/>
            <w:gridSpan w:val="2"/>
          </w:tcPr>
          <w:p w:rsidR="00C61251" w:rsidRDefault="00913BF9" w:rsidP="00C61251">
            <w:r>
              <w:t>4</w:t>
            </w:r>
          </w:p>
        </w:tc>
      </w:tr>
      <w:tr w:rsidR="00393039" w:rsidRPr="00EE52C0" w:rsidTr="00485E53">
        <w:tc>
          <w:tcPr>
            <w:tcW w:w="7905" w:type="dxa"/>
            <w:gridSpan w:val="4"/>
            <w:tcBorders>
              <w:top w:val="single" w:sz="4" w:space="0" w:color="auto"/>
            </w:tcBorders>
            <w:shd w:val="clear" w:color="auto" w:fill="auto"/>
            <w:vAlign w:val="center"/>
          </w:tcPr>
          <w:p w:rsidR="00393039" w:rsidRDefault="00393039" w:rsidP="00485E53">
            <w:pPr>
              <w:jc w:val="right"/>
            </w:pPr>
            <w:r>
              <w:t>Iš viso balų</w:t>
            </w:r>
          </w:p>
        </w:tc>
        <w:tc>
          <w:tcPr>
            <w:tcW w:w="1422" w:type="dxa"/>
            <w:gridSpan w:val="2"/>
          </w:tcPr>
          <w:p w:rsidR="00393039" w:rsidRPr="00B35534" w:rsidRDefault="004223DD" w:rsidP="00485E53">
            <w:pPr>
              <w:rPr>
                <w:b/>
              </w:rPr>
            </w:pPr>
            <w:r>
              <w:rPr>
                <w:b/>
              </w:rPr>
              <w:t>75,33</w:t>
            </w:r>
          </w:p>
        </w:tc>
      </w:tr>
    </w:tbl>
    <w:p w:rsidR="00393039" w:rsidRDefault="00393039" w:rsidP="00913BF9">
      <w:pPr>
        <w:spacing w:line="100" w:lineRule="atLeast"/>
        <w:rPr>
          <w:b/>
          <w:szCs w:val="24"/>
        </w:rPr>
      </w:pPr>
    </w:p>
    <w:p w:rsidR="00913BF9" w:rsidRPr="00394F45" w:rsidRDefault="00913BF9" w:rsidP="00913BF9">
      <w:pPr>
        <w:ind w:firstLine="720"/>
        <w:rPr>
          <w:bCs/>
          <w:szCs w:val="24"/>
        </w:rPr>
      </w:pPr>
      <w:r>
        <w:rPr>
          <w:bCs/>
          <w:szCs w:val="24"/>
        </w:rPr>
        <w:t xml:space="preserve">Įvertinta vadovaujantis </w:t>
      </w:r>
      <w:r w:rsidRPr="00394F45">
        <w:rPr>
          <w:bCs/>
          <w:szCs w:val="24"/>
        </w:rPr>
        <w:t>Lietuvos nacionalinės sveikatos sistemos viešųjų įstaigų vadovų ir jų pavaduotojų mėnesinės algos kintamosios dalies dydžio nustatymo tvarkos aprašu, patvirtintu Lietuvos Respublikos sveikatos apsaugos ministro 2019 m. kovo 25 d. įsakymu Nr. V-361 „Dėl Lietuvos nacionalinės sveikatos sistemos viešųjų įstaigų vadovų ir jų pavaduotojų mėnesinės algos kintamosios dalies dydžio nustatymo tvarkos aprašo patvirtinimo“</w:t>
      </w:r>
      <w:r>
        <w:rPr>
          <w:bCs/>
          <w:szCs w:val="24"/>
        </w:rPr>
        <w:t>.</w:t>
      </w:r>
    </w:p>
    <w:p w:rsidR="00913BF9" w:rsidRDefault="00913BF9">
      <w:pPr>
        <w:spacing w:line="100" w:lineRule="atLeast"/>
        <w:jc w:val="center"/>
        <w:rPr>
          <w:b/>
          <w:szCs w:val="24"/>
        </w:rPr>
      </w:pPr>
    </w:p>
    <w:sectPr w:rsidR="00913BF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16E" w:rsidRDefault="00F4316E">
      <w:r>
        <w:separator/>
      </w:r>
    </w:p>
  </w:endnote>
  <w:endnote w:type="continuationSeparator" w:id="0">
    <w:p w:rsidR="00F4316E" w:rsidRDefault="00F4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16E" w:rsidRDefault="00F4316E">
      <w:r>
        <w:separator/>
      </w:r>
    </w:p>
  </w:footnote>
  <w:footnote w:type="continuationSeparator" w:id="0">
    <w:p w:rsidR="00F4316E" w:rsidRDefault="00F4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56B" w:rsidRDefault="0093056B">
    <w:pPr>
      <w:pStyle w:val="Antrats"/>
      <w:rPr>
        <w:b/>
      </w:rPr>
    </w:pPr>
    <w:r>
      <w:tab/>
    </w:r>
    <w:r>
      <w:tab/>
      <w:t xml:space="preserve">   </w:t>
    </w:r>
  </w:p>
  <w:p w:rsidR="0093056B" w:rsidRDefault="009305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652AA"/>
    <w:multiLevelType w:val="hybridMultilevel"/>
    <w:tmpl w:val="114CCC04"/>
    <w:lvl w:ilvl="0" w:tplc="025829F6">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D7"/>
    <w:rsid w:val="00013AF9"/>
    <w:rsid w:val="00064068"/>
    <w:rsid w:val="000671E2"/>
    <w:rsid w:val="0009419B"/>
    <w:rsid w:val="000A169A"/>
    <w:rsid w:val="000C79DA"/>
    <w:rsid w:val="000E45E7"/>
    <w:rsid w:val="000E7F57"/>
    <w:rsid w:val="000F1132"/>
    <w:rsid w:val="00100651"/>
    <w:rsid w:val="001212EC"/>
    <w:rsid w:val="00133104"/>
    <w:rsid w:val="001460B5"/>
    <w:rsid w:val="00147957"/>
    <w:rsid w:val="001648DC"/>
    <w:rsid w:val="00185CFA"/>
    <w:rsid w:val="00187BF8"/>
    <w:rsid w:val="0019019D"/>
    <w:rsid w:val="00192D80"/>
    <w:rsid w:val="001B3AD9"/>
    <w:rsid w:val="001C2570"/>
    <w:rsid w:val="001D1178"/>
    <w:rsid w:val="001D456C"/>
    <w:rsid w:val="001F29AC"/>
    <w:rsid w:val="00215694"/>
    <w:rsid w:val="002537E3"/>
    <w:rsid w:val="002554C1"/>
    <w:rsid w:val="0026175A"/>
    <w:rsid w:val="002715A5"/>
    <w:rsid w:val="00282735"/>
    <w:rsid w:val="002874AF"/>
    <w:rsid w:val="002D5EE9"/>
    <w:rsid w:val="00365536"/>
    <w:rsid w:val="00393039"/>
    <w:rsid w:val="003B4485"/>
    <w:rsid w:val="003E259A"/>
    <w:rsid w:val="003E37BF"/>
    <w:rsid w:val="003F1C18"/>
    <w:rsid w:val="004223DD"/>
    <w:rsid w:val="00454554"/>
    <w:rsid w:val="004570C4"/>
    <w:rsid w:val="004607EA"/>
    <w:rsid w:val="00476A08"/>
    <w:rsid w:val="00485E53"/>
    <w:rsid w:val="00494053"/>
    <w:rsid w:val="00511DA9"/>
    <w:rsid w:val="00536E2C"/>
    <w:rsid w:val="00537F0E"/>
    <w:rsid w:val="0056507F"/>
    <w:rsid w:val="005665AC"/>
    <w:rsid w:val="00576830"/>
    <w:rsid w:val="00586212"/>
    <w:rsid w:val="005D2662"/>
    <w:rsid w:val="00630455"/>
    <w:rsid w:val="006435A8"/>
    <w:rsid w:val="00645B76"/>
    <w:rsid w:val="00662577"/>
    <w:rsid w:val="00683ADC"/>
    <w:rsid w:val="006A6149"/>
    <w:rsid w:val="006B1777"/>
    <w:rsid w:val="006B235E"/>
    <w:rsid w:val="00720C62"/>
    <w:rsid w:val="00734055"/>
    <w:rsid w:val="00754803"/>
    <w:rsid w:val="00761B98"/>
    <w:rsid w:val="00765027"/>
    <w:rsid w:val="0079149F"/>
    <w:rsid w:val="007A323A"/>
    <w:rsid w:val="007D58BD"/>
    <w:rsid w:val="007E29AB"/>
    <w:rsid w:val="007E7B55"/>
    <w:rsid w:val="00823B6C"/>
    <w:rsid w:val="008306FC"/>
    <w:rsid w:val="00843A61"/>
    <w:rsid w:val="00843B6C"/>
    <w:rsid w:val="0085579D"/>
    <w:rsid w:val="00862CCC"/>
    <w:rsid w:val="00895AFB"/>
    <w:rsid w:val="008A16CC"/>
    <w:rsid w:val="008A294E"/>
    <w:rsid w:val="008D3A00"/>
    <w:rsid w:val="00913BF9"/>
    <w:rsid w:val="0093056B"/>
    <w:rsid w:val="00943B6B"/>
    <w:rsid w:val="009554E4"/>
    <w:rsid w:val="0097514F"/>
    <w:rsid w:val="00992817"/>
    <w:rsid w:val="009931E5"/>
    <w:rsid w:val="009935A2"/>
    <w:rsid w:val="009F4FB9"/>
    <w:rsid w:val="00A21774"/>
    <w:rsid w:val="00A45614"/>
    <w:rsid w:val="00A4771D"/>
    <w:rsid w:val="00A522B0"/>
    <w:rsid w:val="00A57FCC"/>
    <w:rsid w:val="00B02FE3"/>
    <w:rsid w:val="00B10368"/>
    <w:rsid w:val="00B84119"/>
    <w:rsid w:val="00B85AD5"/>
    <w:rsid w:val="00BB567A"/>
    <w:rsid w:val="00BD03B7"/>
    <w:rsid w:val="00BE3D45"/>
    <w:rsid w:val="00BF5617"/>
    <w:rsid w:val="00C03D43"/>
    <w:rsid w:val="00C544C2"/>
    <w:rsid w:val="00C570E1"/>
    <w:rsid w:val="00C60690"/>
    <w:rsid w:val="00C61251"/>
    <w:rsid w:val="00C76E51"/>
    <w:rsid w:val="00C855AB"/>
    <w:rsid w:val="00CA4A0C"/>
    <w:rsid w:val="00CB3653"/>
    <w:rsid w:val="00CB5FA3"/>
    <w:rsid w:val="00CC1010"/>
    <w:rsid w:val="00CD5908"/>
    <w:rsid w:val="00D14FA6"/>
    <w:rsid w:val="00D60E34"/>
    <w:rsid w:val="00D614F1"/>
    <w:rsid w:val="00DD082D"/>
    <w:rsid w:val="00DD28DA"/>
    <w:rsid w:val="00E01CFF"/>
    <w:rsid w:val="00E43EF4"/>
    <w:rsid w:val="00E67D60"/>
    <w:rsid w:val="00E77B28"/>
    <w:rsid w:val="00E80518"/>
    <w:rsid w:val="00E80781"/>
    <w:rsid w:val="00EB7B91"/>
    <w:rsid w:val="00EC03D4"/>
    <w:rsid w:val="00EE57EA"/>
    <w:rsid w:val="00F015D5"/>
    <w:rsid w:val="00F069D7"/>
    <w:rsid w:val="00F23818"/>
    <w:rsid w:val="00F30DA3"/>
    <w:rsid w:val="00F32D1B"/>
    <w:rsid w:val="00F4316E"/>
    <w:rsid w:val="00F7389B"/>
    <w:rsid w:val="00FC1EEA"/>
    <w:rsid w:val="00FD44F2"/>
    <w:rsid w:val="00FE03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3DACA85"/>
  <w15:chartTrackingRefBased/>
  <w15:docId w15:val="{019C7FD3-108A-4C74-B398-1792098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4E4"/>
    <w:rPr>
      <w:sz w:val="24"/>
      <w:lang w:eastAsia="en-US"/>
    </w:rPr>
  </w:style>
  <w:style w:type="paragraph" w:styleId="Antrat1">
    <w:name w:val="heading 1"/>
    <w:basedOn w:val="prastasis"/>
    <w:next w:val="prastasis"/>
    <w:link w:val="Antrat1Diagrama"/>
    <w:uiPriority w:val="99"/>
    <w:qFormat/>
    <w:rsid w:val="009554E4"/>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554E4"/>
    <w:rPr>
      <w:rFonts w:ascii="Cambria" w:hAnsi="Cambria" w:cs="Times New Roman"/>
      <w:b/>
      <w:bCs/>
      <w:kern w:val="32"/>
      <w:sz w:val="32"/>
      <w:szCs w:val="32"/>
      <w:lang w:val="x-none" w:eastAsia="en-US"/>
    </w:rPr>
  </w:style>
  <w:style w:type="paragraph" w:styleId="Antrats">
    <w:name w:val="header"/>
    <w:basedOn w:val="prastasis"/>
    <w:link w:val="AntratsDiagrama"/>
    <w:rsid w:val="009554E4"/>
    <w:pPr>
      <w:tabs>
        <w:tab w:val="center" w:pos="4153"/>
        <w:tab w:val="right" w:pos="8306"/>
      </w:tabs>
    </w:pPr>
  </w:style>
  <w:style w:type="character" w:customStyle="1" w:styleId="AntratsDiagrama">
    <w:name w:val="Antraštės Diagrama"/>
    <w:link w:val="Antrats"/>
    <w:locked/>
    <w:rsid w:val="009554E4"/>
    <w:rPr>
      <w:rFonts w:cs="Times New Roman"/>
      <w:sz w:val="24"/>
      <w:lang w:val="lt-LT" w:eastAsia="en-US" w:bidi="ar-SA"/>
    </w:rPr>
  </w:style>
  <w:style w:type="paragraph" w:styleId="Porat">
    <w:name w:val="footer"/>
    <w:basedOn w:val="prastasis"/>
    <w:link w:val="PoratDiagrama"/>
    <w:uiPriority w:val="99"/>
    <w:rsid w:val="009554E4"/>
    <w:pPr>
      <w:tabs>
        <w:tab w:val="center" w:pos="4153"/>
        <w:tab w:val="right" w:pos="8306"/>
      </w:tabs>
    </w:pPr>
    <w:rPr>
      <w:sz w:val="20"/>
      <w:lang w:val="x-none"/>
    </w:rPr>
  </w:style>
  <w:style w:type="character" w:customStyle="1" w:styleId="PoratDiagrama">
    <w:name w:val="Poraštė Diagrama"/>
    <w:link w:val="Porat"/>
    <w:uiPriority w:val="99"/>
    <w:semiHidden/>
    <w:locked/>
    <w:rsid w:val="009554E4"/>
    <w:rPr>
      <w:rFonts w:cs="Times New Roman"/>
      <w:sz w:val="20"/>
      <w:szCs w:val="20"/>
      <w:lang w:val="x-none" w:eastAsia="en-US"/>
    </w:rPr>
  </w:style>
  <w:style w:type="paragraph" w:styleId="Debesliotekstas">
    <w:name w:val="Balloon Text"/>
    <w:basedOn w:val="prastasis"/>
    <w:link w:val="DebesliotekstasDiagrama"/>
    <w:uiPriority w:val="99"/>
    <w:semiHidden/>
    <w:rsid w:val="009554E4"/>
    <w:rPr>
      <w:sz w:val="2"/>
      <w:lang w:val="x-none"/>
    </w:rPr>
  </w:style>
  <w:style w:type="character" w:customStyle="1" w:styleId="DebesliotekstasDiagrama">
    <w:name w:val="Debesėlio tekstas Diagrama"/>
    <w:link w:val="Debesliotekstas"/>
    <w:uiPriority w:val="99"/>
    <w:semiHidden/>
    <w:locked/>
    <w:rsid w:val="009554E4"/>
    <w:rPr>
      <w:rFonts w:cs="Times New Roman"/>
      <w:sz w:val="2"/>
      <w:lang w:val="x-none" w:eastAsia="en-US"/>
    </w:rPr>
  </w:style>
  <w:style w:type="character" w:customStyle="1" w:styleId="typewriter">
    <w:name w:val="typewriter"/>
    <w:uiPriority w:val="99"/>
    <w:rsid w:val="009554E4"/>
    <w:rPr>
      <w:rFonts w:cs="Times New Roman"/>
    </w:rPr>
  </w:style>
  <w:style w:type="character" w:styleId="Vietosrezervavimoenklotekstas">
    <w:name w:val="Placeholder Text"/>
    <w:uiPriority w:val="99"/>
    <w:semiHidden/>
    <w:rsid w:val="009554E4"/>
    <w:rPr>
      <w:rFonts w:cs="Times New Roman"/>
      <w:color w:val="808080"/>
    </w:rPr>
  </w:style>
  <w:style w:type="character" w:customStyle="1" w:styleId="antr">
    <w:name w:val="antr"/>
    <w:uiPriority w:val="99"/>
    <w:rsid w:val="009554E4"/>
    <w:rPr>
      <w:rFonts w:ascii="Times New Roman" w:hAnsi="Times New Roman" w:cs="Times New Roman"/>
      <w:b/>
      <w:caps/>
      <w:sz w:val="24"/>
    </w:rPr>
  </w:style>
  <w:style w:type="paragraph" w:customStyle="1" w:styleId="Bodytext">
    <w:name w:val="Body text"/>
    <w:uiPriority w:val="99"/>
    <w:rsid w:val="009554E4"/>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95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9554E4"/>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9554E4"/>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54E4"/>
    <w:pPr>
      <w:spacing w:after="120"/>
      <w:ind w:left="283"/>
    </w:pPr>
  </w:style>
  <w:style w:type="character" w:customStyle="1" w:styleId="BodyTextIndentChar">
    <w:name w:val="Body Text Indent Char"/>
    <w:uiPriority w:val="99"/>
    <w:semiHidden/>
    <w:locked/>
    <w:rsid w:val="009554E4"/>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9554E4"/>
    <w:rPr>
      <w:rFonts w:cs="Times New Roman"/>
      <w:sz w:val="24"/>
      <w:lang w:val="lt-LT" w:eastAsia="en-US" w:bidi="ar-SA"/>
    </w:rPr>
  </w:style>
  <w:style w:type="paragraph" w:customStyle="1" w:styleId="nospacing1">
    <w:name w:val="nospacing1"/>
    <w:basedOn w:val="prastasis"/>
    <w:uiPriority w:val="99"/>
    <w:rsid w:val="009554E4"/>
    <w:pPr>
      <w:spacing w:before="100" w:beforeAutospacing="1" w:after="100" w:afterAutospacing="1"/>
    </w:pPr>
    <w:rPr>
      <w:szCs w:val="24"/>
      <w:lang w:eastAsia="lt-LT"/>
    </w:rPr>
  </w:style>
  <w:style w:type="paragraph" w:customStyle="1" w:styleId="bodytext0">
    <w:name w:val="bodytext"/>
    <w:basedOn w:val="prastasis"/>
    <w:uiPriority w:val="99"/>
    <w:rsid w:val="009554E4"/>
    <w:pPr>
      <w:spacing w:before="100" w:beforeAutospacing="1" w:after="100" w:afterAutospacing="1"/>
    </w:pPr>
    <w:rPr>
      <w:szCs w:val="24"/>
      <w:lang w:eastAsia="lt-LT"/>
    </w:rPr>
  </w:style>
  <w:style w:type="paragraph" w:styleId="Sraopastraipa">
    <w:name w:val="List Paragraph"/>
    <w:basedOn w:val="prastasis"/>
    <w:uiPriority w:val="99"/>
    <w:qFormat/>
    <w:rsid w:val="009554E4"/>
    <w:pPr>
      <w:ind w:left="720"/>
      <w:contextualSpacing/>
    </w:pPr>
  </w:style>
  <w:style w:type="paragraph" w:customStyle="1" w:styleId="Pagrindinistekstas1">
    <w:name w:val="Pagrindinis tekstas1"/>
    <w:uiPriority w:val="99"/>
    <w:rsid w:val="009554E4"/>
    <w:pPr>
      <w:snapToGrid w:val="0"/>
      <w:ind w:firstLine="312"/>
      <w:jc w:val="both"/>
    </w:pPr>
    <w:rPr>
      <w:rFonts w:ascii="TimesLT" w:hAnsi="TimesLT"/>
      <w:lang w:val="en-US" w:eastAsia="en-US"/>
    </w:rPr>
  </w:style>
  <w:style w:type="character" w:customStyle="1" w:styleId="CharChar5">
    <w:name w:val="Char Char5"/>
    <w:uiPriority w:val="99"/>
    <w:locked/>
    <w:rsid w:val="009554E4"/>
    <w:rPr>
      <w:b/>
      <w:caps/>
      <w:sz w:val="24"/>
      <w:lang w:val="lt-LT" w:eastAsia="en-US"/>
    </w:rPr>
  </w:style>
  <w:style w:type="character" w:styleId="Hipersaitas">
    <w:name w:val="Hyperlink"/>
    <w:unhideWhenUsed/>
    <w:rsid w:val="00CB5FA3"/>
    <w:rPr>
      <w:color w:val="0000FF"/>
      <w:u w:val="single"/>
    </w:rPr>
  </w:style>
  <w:style w:type="table" w:styleId="Lentelstinklelis">
    <w:name w:val="Table Grid"/>
    <w:basedOn w:val="prastojilentel"/>
    <w:locked/>
    <w:rsid w:val="0014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53378">
      <w:marLeft w:val="0"/>
      <w:marRight w:val="0"/>
      <w:marTop w:val="0"/>
      <w:marBottom w:val="0"/>
      <w:divBdr>
        <w:top w:val="none" w:sz="0" w:space="0" w:color="auto"/>
        <w:left w:val="none" w:sz="0" w:space="0" w:color="auto"/>
        <w:bottom w:val="none" w:sz="0" w:space="0" w:color="auto"/>
        <w:right w:val="none" w:sz="0" w:space="0" w:color="auto"/>
      </w:divBdr>
    </w:div>
    <w:div w:id="1450199571">
      <w:bodyDiv w:val="1"/>
      <w:marLeft w:val="0"/>
      <w:marRight w:val="0"/>
      <w:marTop w:val="0"/>
      <w:marBottom w:val="0"/>
      <w:divBdr>
        <w:top w:val="none" w:sz="0" w:space="0" w:color="auto"/>
        <w:left w:val="none" w:sz="0" w:space="0" w:color="auto"/>
        <w:bottom w:val="none" w:sz="0" w:space="0" w:color="auto"/>
        <w:right w:val="none" w:sz="0" w:space="0" w:color="auto"/>
      </w:divBdr>
      <w:divsChild>
        <w:div w:id="1852449263">
          <w:marLeft w:val="0"/>
          <w:marRight w:val="0"/>
          <w:marTop w:val="0"/>
          <w:marBottom w:val="0"/>
          <w:divBdr>
            <w:top w:val="none" w:sz="0" w:space="0" w:color="auto"/>
            <w:left w:val="none" w:sz="0" w:space="0" w:color="auto"/>
            <w:bottom w:val="none" w:sz="0" w:space="0" w:color="auto"/>
            <w:right w:val="none" w:sz="0" w:space="0" w:color="auto"/>
          </w:divBdr>
          <w:divsChild>
            <w:div w:id="2017220036">
              <w:marLeft w:val="0"/>
              <w:marRight w:val="0"/>
              <w:marTop w:val="0"/>
              <w:marBottom w:val="0"/>
              <w:divBdr>
                <w:top w:val="none" w:sz="0" w:space="0" w:color="auto"/>
                <w:left w:val="none" w:sz="0" w:space="0" w:color="auto"/>
                <w:bottom w:val="none" w:sz="0" w:space="0" w:color="auto"/>
                <w:right w:val="none" w:sz="0" w:space="0" w:color="auto"/>
              </w:divBdr>
              <w:divsChild>
                <w:div w:id="1688798028">
                  <w:marLeft w:val="0"/>
                  <w:marRight w:val="0"/>
                  <w:marTop w:val="0"/>
                  <w:marBottom w:val="0"/>
                  <w:divBdr>
                    <w:top w:val="none" w:sz="0" w:space="0" w:color="auto"/>
                    <w:left w:val="none" w:sz="0" w:space="0" w:color="auto"/>
                    <w:bottom w:val="none" w:sz="0" w:space="0" w:color="auto"/>
                    <w:right w:val="none" w:sz="0" w:space="0" w:color="auto"/>
                  </w:divBdr>
                  <w:divsChild>
                    <w:div w:id="39983729">
                      <w:marLeft w:val="0"/>
                      <w:marRight w:val="0"/>
                      <w:marTop w:val="0"/>
                      <w:marBottom w:val="0"/>
                      <w:divBdr>
                        <w:top w:val="none" w:sz="0" w:space="0" w:color="auto"/>
                        <w:left w:val="none" w:sz="0" w:space="0" w:color="auto"/>
                        <w:bottom w:val="none" w:sz="0" w:space="0" w:color="auto"/>
                        <w:right w:val="none" w:sz="0" w:space="0" w:color="auto"/>
                      </w:divBdr>
                    </w:div>
                    <w:div w:id="227545149">
                      <w:marLeft w:val="0"/>
                      <w:marRight w:val="0"/>
                      <w:marTop w:val="0"/>
                      <w:marBottom w:val="0"/>
                      <w:divBdr>
                        <w:top w:val="none" w:sz="0" w:space="0" w:color="auto"/>
                        <w:left w:val="none" w:sz="0" w:space="0" w:color="auto"/>
                        <w:bottom w:val="none" w:sz="0" w:space="0" w:color="auto"/>
                        <w:right w:val="none" w:sz="0" w:space="0" w:color="auto"/>
                      </w:divBdr>
                    </w:div>
                    <w:div w:id="566427751">
                      <w:marLeft w:val="0"/>
                      <w:marRight w:val="0"/>
                      <w:marTop w:val="0"/>
                      <w:marBottom w:val="0"/>
                      <w:divBdr>
                        <w:top w:val="none" w:sz="0" w:space="0" w:color="auto"/>
                        <w:left w:val="none" w:sz="0" w:space="0" w:color="auto"/>
                        <w:bottom w:val="none" w:sz="0" w:space="0" w:color="auto"/>
                        <w:right w:val="none" w:sz="0" w:space="0" w:color="auto"/>
                      </w:divBdr>
                    </w:div>
                    <w:div w:id="647906010">
                      <w:marLeft w:val="0"/>
                      <w:marRight w:val="0"/>
                      <w:marTop w:val="0"/>
                      <w:marBottom w:val="0"/>
                      <w:divBdr>
                        <w:top w:val="none" w:sz="0" w:space="0" w:color="auto"/>
                        <w:left w:val="none" w:sz="0" w:space="0" w:color="auto"/>
                        <w:bottom w:val="none" w:sz="0" w:space="0" w:color="auto"/>
                        <w:right w:val="none" w:sz="0" w:space="0" w:color="auto"/>
                      </w:divBdr>
                    </w:div>
                    <w:div w:id="866527139">
                      <w:marLeft w:val="0"/>
                      <w:marRight w:val="0"/>
                      <w:marTop w:val="0"/>
                      <w:marBottom w:val="0"/>
                      <w:divBdr>
                        <w:top w:val="none" w:sz="0" w:space="0" w:color="auto"/>
                        <w:left w:val="none" w:sz="0" w:space="0" w:color="auto"/>
                        <w:bottom w:val="none" w:sz="0" w:space="0" w:color="auto"/>
                        <w:right w:val="none" w:sz="0" w:space="0" w:color="auto"/>
                      </w:divBdr>
                    </w:div>
                    <w:div w:id="1327515373">
                      <w:marLeft w:val="0"/>
                      <w:marRight w:val="0"/>
                      <w:marTop w:val="0"/>
                      <w:marBottom w:val="0"/>
                      <w:divBdr>
                        <w:top w:val="none" w:sz="0" w:space="0" w:color="auto"/>
                        <w:left w:val="none" w:sz="0" w:space="0" w:color="auto"/>
                        <w:bottom w:val="none" w:sz="0" w:space="0" w:color="auto"/>
                        <w:right w:val="none" w:sz="0" w:space="0" w:color="auto"/>
                      </w:divBdr>
                    </w:div>
                    <w:div w:id="1860965197">
                      <w:marLeft w:val="0"/>
                      <w:marRight w:val="0"/>
                      <w:marTop w:val="0"/>
                      <w:marBottom w:val="0"/>
                      <w:divBdr>
                        <w:top w:val="none" w:sz="0" w:space="0" w:color="auto"/>
                        <w:left w:val="none" w:sz="0" w:space="0" w:color="auto"/>
                        <w:bottom w:val="none" w:sz="0" w:space="0" w:color="auto"/>
                        <w:right w:val="none" w:sz="0" w:space="0" w:color="auto"/>
                      </w:divBdr>
                    </w:div>
                    <w:div w:id="1960912750">
                      <w:marLeft w:val="0"/>
                      <w:marRight w:val="0"/>
                      <w:marTop w:val="0"/>
                      <w:marBottom w:val="0"/>
                      <w:divBdr>
                        <w:top w:val="none" w:sz="0" w:space="0" w:color="auto"/>
                        <w:left w:val="none" w:sz="0" w:space="0" w:color="auto"/>
                        <w:bottom w:val="none" w:sz="0" w:space="0" w:color="auto"/>
                        <w:right w:val="none" w:sz="0" w:space="0" w:color="auto"/>
                      </w:divBdr>
                    </w:div>
                    <w:div w:id="1992908813">
                      <w:marLeft w:val="0"/>
                      <w:marRight w:val="0"/>
                      <w:marTop w:val="0"/>
                      <w:marBottom w:val="0"/>
                      <w:divBdr>
                        <w:top w:val="none" w:sz="0" w:space="0" w:color="auto"/>
                        <w:left w:val="none" w:sz="0" w:space="0" w:color="auto"/>
                        <w:bottom w:val="none" w:sz="0" w:space="0" w:color="auto"/>
                        <w:right w:val="none" w:sz="0" w:space="0" w:color="auto"/>
                      </w:divBdr>
                    </w:div>
                    <w:div w:id="2017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C0C90-007D-4EA6-861C-F52308A6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10834</Characters>
  <Application>Microsoft Office Word</Application>
  <DocSecurity>0</DocSecurity>
  <Lines>90</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2019-04-15T09:52:00Z</cp:lastPrinted>
  <dcterms:created xsi:type="dcterms:W3CDTF">2019-04-23T07:48:00Z</dcterms:created>
  <dcterms:modified xsi:type="dcterms:W3CDTF">2019-04-23T07:49:00Z</dcterms:modified>
</cp:coreProperties>
</file>