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96533" w:rsidRDefault="001F1B9B">
      <w:r>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6533" w:rsidRDefault="00496533">
                            <w:pPr>
                              <w:rPr>
                                <w:b/>
                              </w:rPr>
                            </w:pPr>
                            <w:r>
                              <w:rPr>
                                <w:b/>
                                <w:bCs/>
                              </w:rPr>
                              <w:t>projektas</w:t>
                            </w:r>
                          </w:p>
                          <w:p w:rsidR="00496533" w:rsidRDefault="00496533">
                            <w:pPr>
                              <w:rPr>
                                <w:b/>
                              </w:rPr>
                            </w:pPr>
                            <w:r>
                              <w:rPr>
                                <w:b/>
                                <w:bCs/>
                              </w:rPr>
                              <w:t>reg. Nr. T</w:t>
                            </w:r>
                            <w:r>
                              <w:rPr>
                                <w:b/>
                              </w:rPr>
                              <w:t>-</w:t>
                            </w:r>
                            <w:r w:rsidR="0013698F">
                              <w:rPr>
                                <w:b/>
                              </w:rPr>
                              <w:t>119</w:t>
                            </w:r>
                          </w:p>
                          <w:p w:rsidR="00496533" w:rsidRDefault="00496533">
                            <w:pPr>
                              <w:rPr>
                                <w:b/>
                              </w:rPr>
                            </w:pPr>
                            <w:r>
                              <w:rPr>
                                <w:b/>
                              </w:rPr>
                              <w:t>2.</w:t>
                            </w:r>
                            <w:r w:rsidR="0060368F">
                              <w:rPr>
                                <w:b/>
                              </w:rPr>
                              <w:t>8.</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496533" w:rsidRDefault="00496533">
                      <w:pPr>
                        <w:rPr>
                          <w:b/>
                        </w:rPr>
                      </w:pPr>
                      <w:r>
                        <w:rPr>
                          <w:b/>
                          <w:bCs/>
                        </w:rPr>
                        <w:t>projektas</w:t>
                      </w:r>
                    </w:p>
                    <w:p w:rsidR="00496533" w:rsidRDefault="00496533">
                      <w:pPr>
                        <w:rPr>
                          <w:b/>
                        </w:rPr>
                      </w:pPr>
                      <w:r>
                        <w:rPr>
                          <w:b/>
                          <w:bCs/>
                        </w:rPr>
                        <w:t>reg. Nr. T</w:t>
                      </w:r>
                      <w:r>
                        <w:rPr>
                          <w:b/>
                        </w:rPr>
                        <w:t>-</w:t>
                      </w:r>
                      <w:r w:rsidR="0013698F">
                        <w:rPr>
                          <w:b/>
                        </w:rPr>
                        <w:t>119</w:t>
                      </w:r>
                    </w:p>
                    <w:p w:rsidR="00496533" w:rsidRDefault="00496533">
                      <w:pPr>
                        <w:rPr>
                          <w:b/>
                        </w:rPr>
                      </w:pPr>
                      <w:r>
                        <w:rPr>
                          <w:b/>
                        </w:rPr>
                        <w:t>2.</w:t>
                      </w:r>
                      <w:r w:rsidR="0060368F">
                        <w:rPr>
                          <w:b/>
                        </w:rPr>
                        <w:t>8.</w:t>
                      </w:r>
                      <w:r>
                        <w:rPr>
                          <w:b/>
                        </w:rPr>
                        <w:t>darbotvarkės klausimas</w:t>
                      </w:r>
                    </w:p>
                  </w:txbxContent>
                </v:textbox>
              </v:shape>
            </w:pict>
          </mc:Fallback>
        </mc:AlternateContent>
      </w:r>
    </w:p>
    <w:p w:rsidR="00496533" w:rsidRDefault="00496533">
      <w:pPr>
        <w:pStyle w:val="Antrats"/>
        <w:jc w:val="center"/>
        <w:rPr>
          <w:b/>
          <w:bCs/>
          <w:caps/>
          <w:sz w:val="26"/>
        </w:rPr>
      </w:pPr>
      <w:bookmarkStart w:id="0" w:name="Institucija"/>
      <w:r>
        <w:rPr>
          <w:b/>
          <w:bCs/>
          <w:caps/>
          <w:sz w:val="26"/>
        </w:rPr>
        <w:t>Pasvalio rajono savivaldybės taryba</w:t>
      </w:r>
      <w:bookmarkEnd w:id="0"/>
    </w:p>
    <w:p w:rsidR="00496533" w:rsidRDefault="00496533"/>
    <w:p w:rsidR="00496533" w:rsidRDefault="00496533">
      <w:pPr>
        <w:jc w:val="center"/>
        <w:rPr>
          <w:b/>
          <w:caps/>
        </w:rPr>
      </w:pPr>
      <w:bookmarkStart w:id="1" w:name="Forma"/>
      <w:r>
        <w:rPr>
          <w:b/>
          <w:caps/>
        </w:rPr>
        <w:t>Sprendimas</w:t>
      </w:r>
      <w:bookmarkEnd w:id="1"/>
    </w:p>
    <w:p w:rsidR="00496533" w:rsidRPr="00EE29F8" w:rsidRDefault="00496533" w:rsidP="00EE29F8">
      <w:pPr>
        <w:tabs>
          <w:tab w:val="left" w:pos="9356"/>
        </w:tabs>
        <w:jc w:val="center"/>
        <w:rPr>
          <w:b/>
          <w:szCs w:val="24"/>
        </w:rPr>
      </w:pPr>
      <w:bookmarkStart w:id="2" w:name="Pavadinimas"/>
      <w:r>
        <w:rPr>
          <w:b/>
          <w:caps/>
        </w:rPr>
        <w:t>Dėl</w:t>
      </w:r>
      <w:r>
        <w:rPr>
          <w:b/>
          <w:caps/>
          <w:szCs w:val="24"/>
        </w:rPr>
        <w:t xml:space="preserve"> </w:t>
      </w:r>
      <w:r w:rsidR="00EE29F8">
        <w:rPr>
          <w:b/>
          <w:caps/>
          <w:szCs w:val="24"/>
        </w:rPr>
        <w:t xml:space="preserve">pasvalio </w:t>
      </w:r>
      <w:r w:rsidR="00EE29F8" w:rsidRPr="00D63F96">
        <w:rPr>
          <w:rStyle w:val="Puslapionumeris"/>
          <w:b/>
          <w:szCs w:val="24"/>
        </w:rPr>
        <w:t>RAJONO SAVIVALDYBĖS NEFORMALIOJO VAIKŲ ŠVIETIMO IR JO TEIKĖJŲ VEIKLOS KOKYBĖS UŽTIKRINIMO TVARKOS APRAŠO PATVIRTINIMO</w:t>
      </w:r>
    </w:p>
    <w:p w:rsidR="00496533" w:rsidRDefault="00496533" w:rsidP="00836AA3">
      <w:pPr>
        <w:jc w:val="center"/>
      </w:pPr>
    </w:p>
    <w:p w:rsidR="00496533" w:rsidRDefault="00496533">
      <w:pPr>
        <w:jc w:val="center"/>
      </w:pPr>
      <w:bookmarkStart w:id="3" w:name="Data"/>
      <w:bookmarkEnd w:id="2"/>
      <w:r>
        <w:t>20</w:t>
      </w:r>
      <w:r w:rsidR="00EE29F8">
        <w:t>20</w:t>
      </w:r>
      <w:r w:rsidR="00C56F65">
        <w:t xml:space="preserve"> </w:t>
      </w:r>
      <w:r w:rsidR="00C56F65" w:rsidRPr="00EE29F8">
        <w:t xml:space="preserve">m. </w:t>
      </w:r>
      <w:r w:rsidR="00EE29F8" w:rsidRPr="00EE29F8">
        <w:t>birželio</w:t>
      </w:r>
      <w:r w:rsidR="001107AE" w:rsidRPr="001107AE">
        <w:rPr>
          <w:color w:val="FF0000"/>
        </w:rPr>
        <w:t xml:space="preserve"> </w:t>
      </w:r>
      <w:r w:rsidR="0076481B">
        <w:rPr>
          <w:color w:val="FF0000"/>
        </w:rPr>
        <w:t xml:space="preserve">   </w:t>
      </w:r>
      <w:r>
        <w:t xml:space="preserve"> d. </w:t>
      </w:r>
      <w:bookmarkEnd w:id="3"/>
      <w:r>
        <w:tab/>
        <w:t xml:space="preserve">Nr. </w:t>
      </w:r>
      <w:bookmarkStart w:id="4" w:name="Nr"/>
      <w:r>
        <w:t>T1-</w:t>
      </w:r>
    </w:p>
    <w:bookmarkEnd w:id="4"/>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8"/>
          <w:pgSz w:w="11906" w:h="16838" w:code="9"/>
          <w:pgMar w:top="1134" w:right="567" w:bottom="1134" w:left="1701" w:header="964" w:footer="567" w:gutter="0"/>
          <w:cols w:space="1296"/>
          <w:titlePg/>
        </w:sectPr>
      </w:pPr>
    </w:p>
    <w:p w:rsidR="006038E7" w:rsidRPr="00C10B32" w:rsidRDefault="00A8575A" w:rsidP="006038E7">
      <w:pPr>
        <w:tabs>
          <w:tab w:val="left" w:pos="1134"/>
          <w:tab w:val="left" w:pos="9356"/>
        </w:tabs>
        <w:autoSpaceDE w:val="0"/>
        <w:autoSpaceDN w:val="0"/>
        <w:adjustRightInd w:val="0"/>
        <w:jc w:val="both"/>
        <w:rPr>
          <w:szCs w:val="24"/>
        </w:rPr>
      </w:pPr>
      <w:r>
        <w:tab/>
      </w:r>
      <w:r w:rsidR="005D372C">
        <w:t>Vadovaudamasi</w:t>
      </w:r>
      <w:r w:rsidR="006038E7" w:rsidRPr="00C10B32">
        <w:rPr>
          <w:szCs w:val="24"/>
        </w:rPr>
        <w:t xml:space="preserve"> Lietuvos Respublikos vietos savivaldos įstatymo 6 straipsnio 8 punktu, 18 straipsnio 1 dalimi, Lietuvos Respublikos švietimo įstatymo 37 straipsnio 6 dalimi ir Lietuvos Respublikos švietimo ir mokslo ministro 2019 m. kovo 28 d. įsakymo Nr. V-342 „Dėl Neformaliojo vaikų švietimo ir jo teikėjų veiklos kokybės užtikrinimo metodikos patvirtinimo“ 3 punktu, </w:t>
      </w:r>
      <w:r w:rsidR="008903C9">
        <w:rPr>
          <w:szCs w:val="24"/>
        </w:rPr>
        <w:t>Pasvalio</w:t>
      </w:r>
      <w:r w:rsidR="006038E7" w:rsidRPr="00C10B32">
        <w:rPr>
          <w:szCs w:val="24"/>
        </w:rPr>
        <w:t xml:space="preserve"> rajono savivaldybės taryba </w:t>
      </w:r>
      <w:r w:rsidR="000F6D7C" w:rsidRPr="000F6D7C">
        <w:rPr>
          <w:spacing w:val="20"/>
          <w:szCs w:val="24"/>
        </w:rPr>
        <w:t>nusprendžia</w:t>
      </w:r>
      <w:r w:rsidR="000F6D7C">
        <w:rPr>
          <w:szCs w:val="24"/>
        </w:rPr>
        <w:t>:</w:t>
      </w:r>
    </w:p>
    <w:p w:rsidR="006038E7" w:rsidRPr="00C10B32" w:rsidRDefault="006038E7" w:rsidP="006038E7">
      <w:pPr>
        <w:tabs>
          <w:tab w:val="left" w:pos="1134"/>
          <w:tab w:val="left" w:pos="9356"/>
        </w:tabs>
        <w:jc w:val="both"/>
        <w:rPr>
          <w:szCs w:val="24"/>
        </w:rPr>
      </w:pPr>
      <w:r w:rsidRPr="00C10B32">
        <w:rPr>
          <w:szCs w:val="24"/>
        </w:rPr>
        <w:tab/>
        <w:t xml:space="preserve">1. Patvirtinti </w:t>
      </w:r>
      <w:r>
        <w:rPr>
          <w:szCs w:val="24"/>
        </w:rPr>
        <w:t>Pasvalio</w:t>
      </w:r>
      <w:r w:rsidRPr="00C10B32">
        <w:rPr>
          <w:szCs w:val="24"/>
        </w:rPr>
        <w:t xml:space="preserve"> rajono savivaldybės </w:t>
      </w:r>
      <w:r>
        <w:rPr>
          <w:szCs w:val="24"/>
        </w:rPr>
        <w:t>N</w:t>
      </w:r>
      <w:r w:rsidRPr="00C10B32">
        <w:rPr>
          <w:szCs w:val="24"/>
        </w:rPr>
        <w:t xml:space="preserve">eformaliojo vaikų švietimo ir jo teikėjų veiklos kokybės užtikrinimo tvarkos aprašą (pridedama). </w:t>
      </w:r>
    </w:p>
    <w:p w:rsidR="00474716" w:rsidRPr="00474716" w:rsidRDefault="006038E7" w:rsidP="006038E7">
      <w:pPr>
        <w:tabs>
          <w:tab w:val="left" w:pos="1134"/>
          <w:tab w:val="left" w:pos="9356"/>
        </w:tabs>
        <w:jc w:val="both"/>
        <w:rPr>
          <w:szCs w:val="24"/>
        </w:rPr>
      </w:pPr>
      <w:r w:rsidRPr="00C10B32">
        <w:rPr>
          <w:szCs w:val="24"/>
        </w:rPr>
        <w:tab/>
      </w:r>
      <w:r w:rsidRPr="00474716">
        <w:rPr>
          <w:szCs w:val="24"/>
        </w:rPr>
        <w:t xml:space="preserve">2. Pripažinti netekusiu galios </w:t>
      </w:r>
      <w:r w:rsidR="00C42806">
        <w:rPr>
          <w:szCs w:val="24"/>
        </w:rPr>
        <w:t>P</w:t>
      </w:r>
      <w:r w:rsidR="00474716" w:rsidRPr="00474716">
        <w:rPr>
          <w:szCs w:val="24"/>
        </w:rPr>
        <w:t>asvalio</w:t>
      </w:r>
      <w:r w:rsidRPr="00474716">
        <w:rPr>
          <w:szCs w:val="24"/>
        </w:rPr>
        <w:t xml:space="preserve"> rajono savivaldybės tarybos 2013 m. rugsėjo 2</w:t>
      </w:r>
      <w:r w:rsidR="00474716" w:rsidRPr="00474716">
        <w:rPr>
          <w:szCs w:val="24"/>
        </w:rPr>
        <w:t>3</w:t>
      </w:r>
      <w:r w:rsidRPr="00474716">
        <w:rPr>
          <w:szCs w:val="24"/>
        </w:rPr>
        <w:t xml:space="preserve"> d. sprendimą Nr. T</w:t>
      </w:r>
      <w:r w:rsidR="00474716" w:rsidRPr="00474716">
        <w:rPr>
          <w:szCs w:val="24"/>
        </w:rPr>
        <w:t>1</w:t>
      </w:r>
      <w:r w:rsidRPr="00474716">
        <w:rPr>
          <w:szCs w:val="24"/>
        </w:rPr>
        <w:t>-1</w:t>
      </w:r>
      <w:r w:rsidR="00474716" w:rsidRPr="00474716">
        <w:rPr>
          <w:szCs w:val="24"/>
        </w:rPr>
        <w:t>99</w:t>
      </w:r>
      <w:r w:rsidRPr="00474716">
        <w:rPr>
          <w:szCs w:val="24"/>
        </w:rPr>
        <w:t xml:space="preserve"> „Dėl </w:t>
      </w:r>
      <w:r w:rsidR="00474716" w:rsidRPr="00474716">
        <w:rPr>
          <w:szCs w:val="24"/>
        </w:rPr>
        <w:t xml:space="preserve">Pasvalio </w:t>
      </w:r>
      <w:r w:rsidRPr="00474716">
        <w:rPr>
          <w:szCs w:val="24"/>
        </w:rPr>
        <w:t xml:space="preserve"> rajono savivaldybės neformaliojo švietimo mokyklų</w:t>
      </w:r>
      <w:r w:rsidR="00474716" w:rsidRPr="00474716">
        <w:rPr>
          <w:szCs w:val="24"/>
        </w:rPr>
        <w:t xml:space="preserve"> veiklos </w:t>
      </w:r>
      <w:r w:rsidRPr="00474716">
        <w:rPr>
          <w:szCs w:val="24"/>
        </w:rPr>
        <w:t xml:space="preserve"> išorinio vertinimo tvarkos aprašo patvirtinimo“.</w:t>
      </w:r>
    </w:p>
    <w:p w:rsidR="00474716" w:rsidRDefault="00474716" w:rsidP="00474716">
      <w:pPr>
        <w:sectPr w:rsidR="00474716" w:rsidSect="00474716">
          <w:type w:val="continuous"/>
          <w:pgSz w:w="11906" w:h="16838"/>
          <w:pgMar w:top="1134" w:right="567" w:bottom="1418" w:left="1701" w:header="964" w:footer="720" w:gutter="0"/>
          <w:cols w:space="1296"/>
        </w:sectPr>
      </w:pPr>
    </w:p>
    <w:p w:rsidR="006038E7" w:rsidRPr="00365C83" w:rsidRDefault="006038E7" w:rsidP="006038E7">
      <w:pPr>
        <w:tabs>
          <w:tab w:val="left" w:pos="851"/>
        </w:tabs>
        <w:suppressAutoHyphens/>
        <w:ind w:right="57"/>
        <w:jc w:val="both"/>
        <w:rPr>
          <w:szCs w:val="24"/>
        </w:rPr>
      </w:pPr>
      <w:r>
        <w:rPr>
          <w:szCs w:val="24"/>
        </w:rPr>
        <w:tab/>
      </w:r>
      <w:r w:rsidRPr="00B81D98">
        <w:rPr>
          <w:szCs w:val="24"/>
        </w:rPr>
        <w:t>Sprendimas per vieną mėnesį gali būti skundžiamas Regionų apygardos administraciniam teismui, skundą (prašymą) paduodant bet kuriuose šio teismo rūmuose, Lietuvos Respublikos administracinių bylų teisenos įstatymo nustatyta tvarka.</w:t>
      </w:r>
    </w:p>
    <w:p w:rsidR="00964982" w:rsidRDefault="00964982" w:rsidP="006174D8">
      <w:pPr>
        <w:pStyle w:val="Antrats"/>
        <w:tabs>
          <w:tab w:val="clear" w:pos="4153"/>
          <w:tab w:val="clear" w:pos="8306"/>
        </w:tabs>
        <w:jc w:val="both"/>
      </w:pPr>
    </w:p>
    <w:p w:rsidR="00964982" w:rsidRDefault="00964982" w:rsidP="00C56F65">
      <w:pPr>
        <w:pStyle w:val="Antrats"/>
        <w:tabs>
          <w:tab w:val="clear" w:pos="4153"/>
          <w:tab w:val="clear" w:pos="8306"/>
        </w:tabs>
        <w:jc w:val="both"/>
      </w:pPr>
    </w:p>
    <w:p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rsidR="00C56F65" w:rsidRDefault="00C56F65" w:rsidP="00C56F65">
      <w:pPr>
        <w:pStyle w:val="Antrats"/>
        <w:tabs>
          <w:tab w:val="clear" w:pos="4153"/>
          <w:tab w:val="clear" w:pos="8306"/>
        </w:tabs>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Pr="00223C5A" w:rsidRDefault="00964982" w:rsidP="00C56F65">
      <w:pPr>
        <w:pStyle w:val="Antrats"/>
        <w:tabs>
          <w:tab w:val="clear" w:pos="4153"/>
          <w:tab w:val="clear" w:pos="8306"/>
        </w:tabs>
        <w:rPr>
          <w:szCs w:val="24"/>
        </w:rPr>
      </w:pPr>
    </w:p>
    <w:p w:rsidR="006174D8" w:rsidRDefault="006174D8" w:rsidP="00C56F65">
      <w:pPr>
        <w:pStyle w:val="Antrats"/>
        <w:tabs>
          <w:tab w:val="clear" w:pos="4153"/>
          <w:tab w:val="clear" w:pos="8306"/>
        </w:tabs>
        <w:rPr>
          <w:color w:val="FF0000"/>
        </w:rPr>
      </w:pPr>
    </w:p>
    <w:p w:rsidR="00DE7C4C" w:rsidRDefault="00DE7C4C" w:rsidP="00C56F65">
      <w:pPr>
        <w:pStyle w:val="Antrats"/>
        <w:tabs>
          <w:tab w:val="clear" w:pos="4153"/>
          <w:tab w:val="clear" w:pos="8306"/>
        </w:tabs>
        <w:rPr>
          <w:color w:val="FF0000"/>
        </w:rPr>
      </w:pPr>
    </w:p>
    <w:p w:rsidR="00DE7C4C" w:rsidRDefault="00DE7C4C" w:rsidP="00C56F65">
      <w:pPr>
        <w:pStyle w:val="Antrats"/>
        <w:tabs>
          <w:tab w:val="clear" w:pos="4153"/>
          <w:tab w:val="clear" w:pos="8306"/>
        </w:tabs>
        <w:rPr>
          <w:color w:val="FF0000"/>
        </w:rPr>
      </w:pPr>
    </w:p>
    <w:p w:rsidR="006174D8" w:rsidRDefault="006174D8" w:rsidP="00C56F65">
      <w:pPr>
        <w:pStyle w:val="Antrats"/>
        <w:tabs>
          <w:tab w:val="clear" w:pos="4153"/>
          <w:tab w:val="clear" w:pos="8306"/>
        </w:tabs>
        <w:rPr>
          <w:color w:val="FF0000"/>
        </w:rPr>
      </w:pPr>
    </w:p>
    <w:p w:rsidR="006174D8" w:rsidRDefault="006174D8" w:rsidP="00C56F65">
      <w:pPr>
        <w:pStyle w:val="Antrats"/>
        <w:tabs>
          <w:tab w:val="clear" w:pos="4153"/>
          <w:tab w:val="clear" w:pos="8306"/>
        </w:tabs>
        <w:rPr>
          <w:color w:val="FF0000"/>
        </w:rPr>
      </w:pPr>
    </w:p>
    <w:p w:rsidR="006174D8" w:rsidRDefault="006174D8" w:rsidP="00C56F65">
      <w:pPr>
        <w:pStyle w:val="Antrats"/>
        <w:tabs>
          <w:tab w:val="clear" w:pos="4153"/>
          <w:tab w:val="clear" w:pos="8306"/>
        </w:tabs>
        <w:rPr>
          <w:color w:val="FF0000"/>
        </w:rPr>
      </w:pPr>
    </w:p>
    <w:p w:rsidR="006174D8" w:rsidRDefault="006174D8" w:rsidP="00C56F65">
      <w:pPr>
        <w:pStyle w:val="Antrats"/>
        <w:tabs>
          <w:tab w:val="clear" w:pos="4153"/>
          <w:tab w:val="clear" w:pos="8306"/>
        </w:tabs>
        <w:rPr>
          <w:color w:val="FF0000"/>
        </w:rPr>
      </w:pPr>
    </w:p>
    <w:p w:rsidR="006174D8" w:rsidRDefault="006174D8" w:rsidP="00C56F65">
      <w:pPr>
        <w:pStyle w:val="Antrats"/>
        <w:tabs>
          <w:tab w:val="clear" w:pos="4153"/>
          <w:tab w:val="clear" w:pos="8306"/>
        </w:tabs>
        <w:rPr>
          <w:color w:val="FF0000"/>
        </w:rPr>
      </w:pPr>
    </w:p>
    <w:p w:rsidR="006174D8" w:rsidRDefault="006174D8" w:rsidP="00C56F65">
      <w:pPr>
        <w:pStyle w:val="Antrats"/>
        <w:tabs>
          <w:tab w:val="clear" w:pos="4153"/>
          <w:tab w:val="clear" w:pos="8306"/>
        </w:tabs>
        <w:rPr>
          <w:color w:val="FF0000"/>
        </w:rPr>
      </w:pPr>
    </w:p>
    <w:p w:rsidR="006174D8" w:rsidRDefault="006174D8" w:rsidP="00C56F65">
      <w:pPr>
        <w:pStyle w:val="Antrats"/>
        <w:tabs>
          <w:tab w:val="clear" w:pos="4153"/>
          <w:tab w:val="clear" w:pos="8306"/>
        </w:tabs>
        <w:rPr>
          <w:color w:val="FF0000"/>
        </w:rPr>
      </w:pPr>
    </w:p>
    <w:p w:rsidR="006174D8" w:rsidRDefault="006174D8" w:rsidP="00C56F65">
      <w:pPr>
        <w:pStyle w:val="Antrats"/>
        <w:tabs>
          <w:tab w:val="clear" w:pos="4153"/>
          <w:tab w:val="clear" w:pos="8306"/>
        </w:tabs>
        <w:rPr>
          <w:color w:val="FF0000"/>
        </w:rPr>
      </w:pPr>
    </w:p>
    <w:p w:rsidR="000F6D7C" w:rsidRDefault="000F6D7C" w:rsidP="00C56F65">
      <w:pPr>
        <w:pStyle w:val="Antrats"/>
        <w:tabs>
          <w:tab w:val="clear" w:pos="4153"/>
          <w:tab w:val="clear" w:pos="8306"/>
        </w:tabs>
        <w:rPr>
          <w:color w:val="FF0000"/>
        </w:rPr>
      </w:pPr>
    </w:p>
    <w:p w:rsidR="000F6D7C" w:rsidRDefault="000F6D7C" w:rsidP="00C56F65">
      <w:pPr>
        <w:pStyle w:val="Antrats"/>
        <w:tabs>
          <w:tab w:val="clear" w:pos="4153"/>
          <w:tab w:val="clear" w:pos="8306"/>
        </w:tabs>
        <w:rPr>
          <w:color w:val="FF0000"/>
        </w:rPr>
      </w:pPr>
    </w:p>
    <w:p w:rsidR="000F6D7C" w:rsidRDefault="000F6D7C" w:rsidP="00C56F65">
      <w:pPr>
        <w:pStyle w:val="Antrats"/>
        <w:tabs>
          <w:tab w:val="clear" w:pos="4153"/>
          <w:tab w:val="clear" w:pos="8306"/>
        </w:tabs>
        <w:rPr>
          <w:color w:val="FF0000"/>
        </w:rPr>
      </w:pPr>
    </w:p>
    <w:p w:rsidR="006174D8" w:rsidRDefault="006174D8" w:rsidP="00C56F65">
      <w:pPr>
        <w:pStyle w:val="Antrats"/>
        <w:tabs>
          <w:tab w:val="clear" w:pos="4153"/>
          <w:tab w:val="clear" w:pos="8306"/>
        </w:tabs>
        <w:rPr>
          <w:color w:val="FF0000"/>
        </w:rPr>
      </w:pPr>
    </w:p>
    <w:p w:rsidR="006174D8" w:rsidRPr="001107AE" w:rsidRDefault="006174D8" w:rsidP="00C56F65">
      <w:pPr>
        <w:pStyle w:val="Antrats"/>
        <w:tabs>
          <w:tab w:val="clear" w:pos="4153"/>
          <w:tab w:val="clear" w:pos="8306"/>
        </w:tabs>
        <w:rPr>
          <w:color w:val="FF0000"/>
        </w:rPr>
      </w:pPr>
    </w:p>
    <w:p w:rsidR="00931E2E" w:rsidRPr="00931E2E" w:rsidRDefault="00931E2E" w:rsidP="00931E2E">
      <w:r w:rsidRPr="00931E2E">
        <w:lastRenderedPageBreak/>
        <w:t>Pasvalio rajono savivaldybės tarybai</w:t>
      </w:r>
    </w:p>
    <w:p w:rsidR="00931E2E" w:rsidRPr="00931E2E" w:rsidRDefault="00931E2E" w:rsidP="00931E2E"/>
    <w:p w:rsidR="00931E2E" w:rsidRPr="00931E2E" w:rsidRDefault="00931E2E" w:rsidP="00931E2E">
      <w:pPr>
        <w:jc w:val="center"/>
        <w:rPr>
          <w:b/>
        </w:rPr>
      </w:pPr>
      <w:r w:rsidRPr="00931E2E">
        <w:rPr>
          <w:b/>
        </w:rPr>
        <w:t>AIŠKINAMASIS RAŠTAS</w:t>
      </w:r>
    </w:p>
    <w:p w:rsidR="00931E2E" w:rsidRPr="00931E2E" w:rsidRDefault="00931E2E" w:rsidP="00931E2E">
      <w:pPr>
        <w:jc w:val="center"/>
        <w:rPr>
          <w:b/>
        </w:rPr>
      </w:pPr>
    </w:p>
    <w:p w:rsidR="005A7EF8" w:rsidRPr="00EE29F8" w:rsidRDefault="005A7EF8" w:rsidP="005A7EF8">
      <w:pPr>
        <w:tabs>
          <w:tab w:val="left" w:pos="9356"/>
        </w:tabs>
        <w:jc w:val="center"/>
        <w:rPr>
          <w:b/>
          <w:szCs w:val="24"/>
        </w:rPr>
      </w:pPr>
      <w:r>
        <w:rPr>
          <w:b/>
          <w:caps/>
        </w:rPr>
        <w:t>Dėl</w:t>
      </w:r>
      <w:r>
        <w:rPr>
          <w:b/>
          <w:caps/>
          <w:szCs w:val="24"/>
        </w:rPr>
        <w:t xml:space="preserve"> pasvalio </w:t>
      </w:r>
      <w:r w:rsidRPr="00D63F96">
        <w:rPr>
          <w:rStyle w:val="Puslapionumeris"/>
          <w:b/>
          <w:szCs w:val="24"/>
        </w:rPr>
        <w:t>RAJONO SAVIVALDYBĖS NEFORMALIOJO VAIKŲ ŠVIETIMO IR JO TEIKĖJŲ VEIKLOS KOKYBĖS UŽTIKRINIMO TVARKOS APRAŠO PATVIRTINIMO</w:t>
      </w:r>
    </w:p>
    <w:p w:rsidR="00931E2E" w:rsidRPr="00931E2E" w:rsidRDefault="00931E2E" w:rsidP="00931E2E">
      <w:pPr>
        <w:jc w:val="center"/>
        <w:rPr>
          <w:b/>
        </w:rPr>
      </w:pPr>
    </w:p>
    <w:p w:rsidR="00931E2E" w:rsidRPr="00931E2E" w:rsidRDefault="005A7EF8" w:rsidP="00931E2E">
      <w:pPr>
        <w:jc w:val="center"/>
        <w:rPr>
          <w:b/>
        </w:rPr>
      </w:pPr>
      <w:r>
        <w:rPr>
          <w:b/>
        </w:rPr>
        <w:t>2020-05-2</w:t>
      </w:r>
      <w:r w:rsidR="00DE7C4C">
        <w:rPr>
          <w:b/>
        </w:rPr>
        <w:t>9</w:t>
      </w:r>
    </w:p>
    <w:p w:rsidR="00931E2E" w:rsidRPr="00931E2E" w:rsidRDefault="00931E2E" w:rsidP="00931E2E">
      <w:pPr>
        <w:jc w:val="center"/>
      </w:pPr>
      <w:r w:rsidRPr="00931E2E">
        <w:t>Pasvalys</w:t>
      </w:r>
    </w:p>
    <w:p w:rsidR="005A7EF8" w:rsidRPr="00301AD9" w:rsidRDefault="00931E2E" w:rsidP="005A7EF8">
      <w:pPr>
        <w:numPr>
          <w:ilvl w:val="0"/>
          <w:numId w:val="8"/>
        </w:numPr>
        <w:jc w:val="both"/>
        <w:rPr>
          <w:szCs w:val="24"/>
        </w:rPr>
      </w:pPr>
      <w:r w:rsidRPr="00931E2E">
        <w:rPr>
          <w:b/>
          <w:szCs w:val="24"/>
        </w:rPr>
        <w:t>Problemos esmė</w:t>
      </w:r>
      <w:r w:rsidRPr="00931E2E">
        <w:rPr>
          <w:szCs w:val="24"/>
        </w:rPr>
        <w:t xml:space="preserve"> </w:t>
      </w:r>
    </w:p>
    <w:p w:rsidR="005A7EF8" w:rsidRPr="000F6D7C" w:rsidRDefault="005A7EF8" w:rsidP="00536AA8">
      <w:pPr>
        <w:tabs>
          <w:tab w:val="left" w:pos="0"/>
          <w:tab w:val="left" w:pos="851"/>
        </w:tabs>
        <w:autoSpaceDE w:val="0"/>
        <w:autoSpaceDN w:val="0"/>
        <w:adjustRightInd w:val="0"/>
        <w:jc w:val="both"/>
        <w:rPr>
          <w:iCs/>
          <w:szCs w:val="24"/>
        </w:rPr>
      </w:pPr>
      <w:r>
        <w:rPr>
          <w:bCs/>
          <w:szCs w:val="24"/>
        </w:rPr>
        <w:tab/>
      </w:r>
      <w:r w:rsidRPr="000F6D7C">
        <w:rPr>
          <w:bCs/>
          <w:iCs/>
          <w:szCs w:val="24"/>
        </w:rPr>
        <w:t xml:space="preserve">Sprendimo projektu siūloma patvirtinti </w:t>
      </w:r>
      <w:r w:rsidRPr="000F6D7C">
        <w:rPr>
          <w:iCs/>
          <w:szCs w:val="24"/>
        </w:rPr>
        <w:t xml:space="preserve">Neformaliojo vaikų švietimo ir jo teikėjų veiklos kokybės užtikrinimo tvarkos aprašą (toliau- Aprašas), siekiant nustatyti neformaliojo vaikų švietimo ir formalųjį švietimą papildančio ugdymo mokyklų ir kitų neformaliojo vaikų švietimo teikėjų (įstaigų, įmonių, laisvųjų mokytojų, organizacijų ar jų padalinių) (toliau – NVŠ teikėjai) veiklos įsivertinimo ir veiklos vertinimo sampratą, metodiką, išorinio vertinimo organizavimą ir vykdymą. </w:t>
      </w:r>
    </w:p>
    <w:p w:rsidR="005A7EF8" w:rsidRPr="000F6D7C" w:rsidRDefault="005A7EF8" w:rsidP="00536AA8">
      <w:pPr>
        <w:ind w:firstLine="720"/>
        <w:jc w:val="both"/>
        <w:rPr>
          <w:iCs/>
          <w:color w:val="000000"/>
          <w:szCs w:val="24"/>
        </w:rPr>
      </w:pPr>
      <w:r w:rsidRPr="000F6D7C">
        <w:rPr>
          <w:iCs/>
          <w:szCs w:val="24"/>
        </w:rPr>
        <w:t>Pagal Lietuvos Respublikos švietimo įstatymo 37 straipsnio 6 dalį: „</w:t>
      </w:r>
      <w:r w:rsidRPr="000F6D7C">
        <w:rPr>
          <w:iCs/>
          <w:color w:val="000000"/>
          <w:szCs w:val="24"/>
        </w:rPr>
        <w:t xml:space="preserve">Neformaliojo švietimo mokyklų veiklos išorinio vertinimo tvarką nustato savivaldybės mokyklos savininko teises ir pareigas įgyvendinanti institucija“ - (Taryba). </w:t>
      </w:r>
    </w:p>
    <w:p w:rsidR="005A7EF8" w:rsidRPr="000F6D7C" w:rsidRDefault="005A7EF8" w:rsidP="00536AA8">
      <w:pPr>
        <w:jc w:val="both"/>
        <w:rPr>
          <w:iCs/>
          <w:szCs w:val="24"/>
        </w:rPr>
      </w:pPr>
      <w:r w:rsidRPr="000F6D7C">
        <w:rPr>
          <w:iCs/>
          <w:color w:val="000000"/>
          <w:szCs w:val="24"/>
        </w:rPr>
        <w:tab/>
      </w:r>
      <w:r w:rsidRPr="000F6D7C">
        <w:rPr>
          <w:bCs/>
          <w:iCs/>
          <w:szCs w:val="24"/>
        </w:rPr>
        <w:t xml:space="preserve">NVŠ teikėjų veiklos vertinimas/įsivertinimas – naudingas procesas: suteikia teikėjui galimybę girdėti vaikų, tėvų, kolektyvo ir vertintojų nuomonę, atkreipia dėmesį į ugdymo proceso kokybę ir nuteikia pozityviems pokyčiams. </w:t>
      </w:r>
    </w:p>
    <w:p w:rsidR="00931E2E" w:rsidRPr="00931E2E" w:rsidRDefault="00931E2E" w:rsidP="00931E2E">
      <w:pPr>
        <w:ind w:left="720"/>
        <w:jc w:val="both"/>
        <w:rPr>
          <w:bCs/>
          <w:i/>
          <w:color w:val="FF0000"/>
          <w:szCs w:val="24"/>
        </w:rPr>
      </w:pPr>
      <w:r w:rsidRPr="00931E2E">
        <w:rPr>
          <w:b/>
          <w:bCs/>
          <w:szCs w:val="24"/>
        </w:rPr>
        <w:t xml:space="preserve">2. Kokios siūlomos naujos teisinio reguliavimo nuostatos ir kokių rezultatų laukiama </w:t>
      </w:r>
    </w:p>
    <w:p w:rsidR="00931E2E" w:rsidRPr="00931E2E" w:rsidRDefault="00931E2E" w:rsidP="00A51FB4">
      <w:pPr>
        <w:ind w:firstLine="720"/>
        <w:jc w:val="both"/>
        <w:rPr>
          <w:i/>
          <w:szCs w:val="24"/>
        </w:rPr>
      </w:pPr>
      <w:r w:rsidRPr="00931E2E">
        <w:rPr>
          <w:i/>
          <w:szCs w:val="24"/>
        </w:rPr>
        <w:t>Priimtas sprendimo projektas įtakos kriminogeninei situacijai ir korupcijai neturės. </w:t>
      </w:r>
    </w:p>
    <w:p w:rsidR="003D6D34" w:rsidRPr="00A51FB4" w:rsidRDefault="00931E2E" w:rsidP="00A51FB4">
      <w:pPr>
        <w:snapToGrid w:val="0"/>
        <w:ind w:firstLine="720"/>
        <w:jc w:val="both"/>
        <w:rPr>
          <w:szCs w:val="24"/>
        </w:rPr>
      </w:pPr>
      <w:r w:rsidRPr="00931E2E">
        <w:rPr>
          <w:b/>
          <w:szCs w:val="24"/>
        </w:rPr>
        <w:t>3. Skaičiavimai, išlaidų sąmatos, finansavimo šaltiniai</w:t>
      </w:r>
      <w:r w:rsidRPr="00931E2E">
        <w:rPr>
          <w:szCs w:val="24"/>
        </w:rPr>
        <w:t xml:space="preserve"> </w:t>
      </w:r>
    </w:p>
    <w:p w:rsidR="00931E2E" w:rsidRPr="000F6D7C" w:rsidRDefault="00931E2E" w:rsidP="00602128">
      <w:pPr>
        <w:ind w:firstLine="720"/>
        <w:jc w:val="both"/>
        <w:rPr>
          <w:iCs/>
          <w:szCs w:val="24"/>
          <w:lang w:eastAsia="lt-LT"/>
        </w:rPr>
      </w:pPr>
      <w:r w:rsidRPr="000F6D7C">
        <w:rPr>
          <w:iCs/>
          <w:szCs w:val="24"/>
          <w:lang w:eastAsia="lt-LT"/>
        </w:rPr>
        <w:t>Sprendimo projekto įgyvendinimui lėšų</w:t>
      </w:r>
      <w:r w:rsidR="003A0344" w:rsidRPr="000F6D7C">
        <w:rPr>
          <w:iCs/>
          <w:szCs w:val="24"/>
          <w:lang w:eastAsia="lt-LT"/>
        </w:rPr>
        <w:t xml:space="preserve"> 2020 metams</w:t>
      </w:r>
      <w:r w:rsidRPr="000F6D7C">
        <w:rPr>
          <w:iCs/>
          <w:szCs w:val="24"/>
          <w:lang w:eastAsia="lt-LT"/>
        </w:rPr>
        <w:t xml:space="preserve"> nereikia.</w:t>
      </w:r>
      <w:r w:rsidR="000C097B" w:rsidRPr="000F6D7C">
        <w:rPr>
          <w:iCs/>
          <w:szCs w:val="24"/>
          <w:lang w:eastAsia="lt-LT"/>
        </w:rPr>
        <w:t xml:space="preserve"> Pasvalio rajono savivaldybė dalyvauja </w:t>
      </w:r>
      <w:r w:rsidR="00DE7C4C" w:rsidRPr="000F6D7C">
        <w:rPr>
          <w:iCs/>
          <w:szCs w:val="24"/>
          <w:lang w:eastAsia="lt-LT"/>
        </w:rPr>
        <w:t xml:space="preserve">Nacionalinės švietimo agentūros </w:t>
      </w:r>
      <w:r w:rsidR="000C097B" w:rsidRPr="000F6D7C">
        <w:rPr>
          <w:iCs/>
          <w:szCs w:val="24"/>
          <w:lang w:eastAsia="lt-LT"/>
        </w:rPr>
        <w:t xml:space="preserve"> inicijuojamame projekte</w:t>
      </w:r>
      <w:r w:rsidR="00DE7C4C" w:rsidRPr="000F6D7C">
        <w:rPr>
          <w:iCs/>
          <w:szCs w:val="24"/>
          <w:lang w:eastAsia="lt-LT"/>
        </w:rPr>
        <w:t xml:space="preserve"> ,,Neformaliojo vaikų švietimo teikėjų kokybės vertinimas“</w:t>
      </w:r>
    </w:p>
    <w:p w:rsidR="003A0344" w:rsidRPr="00DE7C4C" w:rsidRDefault="00DE7C4C" w:rsidP="00602128">
      <w:pPr>
        <w:tabs>
          <w:tab w:val="left" w:pos="851"/>
        </w:tabs>
        <w:ind w:right="198"/>
        <w:jc w:val="both"/>
        <w:rPr>
          <w:szCs w:val="24"/>
        </w:rPr>
      </w:pPr>
      <w:r w:rsidRPr="00DE7C4C">
        <w:rPr>
          <w:rFonts w:eastAsia="Calibri"/>
          <w:szCs w:val="24"/>
        </w:rPr>
        <w:tab/>
      </w:r>
      <w:r w:rsidR="003A0344" w:rsidRPr="00DE7C4C">
        <w:rPr>
          <w:rFonts w:eastAsia="Calibri"/>
          <w:szCs w:val="24"/>
        </w:rPr>
        <w:t xml:space="preserve">Išoriniam vertinimui organizuoti ir vykdyti bus reikalingos savivaldybės biudžeto lėšos </w:t>
      </w:r>
      <w:r w:rsidRPr="00DE7C4C">
        <w:rPr>
          <w:rFonts w:eastAsia="Calibri"/>
          <w:szCs w:val="24"/>
        </w:rPr>
        <w:t xml:space="preserve">nuo 2021 m. </w:t>
      </w:r>
      <w:r w:rsidR="003A0344" w:rsidRPr="00DE7C4C">
        <w:rPr>
          <w:rFonts w:eastAsia="Calibri"/>
          <w:szCs w:val="24"/>
        </w:rPr>
        <w:t>(1 mokyklos išorės vertinimas iki 600 eurų).</w:t>
      </w:r>
    </w:p>
    <w:p w:rsidR="00931E2E" w:rsidRPr="00931E2E" w:rsidRDefault="00931E2E" w:rsidP="00931E2E">
      <w:pPr>
        <w:ind w:firstLine="731"/>
        <w:jc w:val="both"/>
        <w:rPr>
          <w:szCs w:val="24"/>
        </w:rPr>
      </w:pPr>
      <w:r w:rsidRPr="00931E2E">
        <w:rPr>
          <w:b/>
          <w:bCs/>
          <w:szCs w:val="24"/>
        </w:rPr>
        <w:t>4. Numatomo teisinio reguliavimo poveikio vertinimo rezultatai</w:t>
      </w:r>
      <w:r w:rsidRPr="00931E2E">
        <w:rPr>
          <w:bCs/>
          <w:szCs w:val="24"/>
        </w:rPr>
        <w:t>,</w:t>
      </w:r>
      <w:r w:rsidRPr="00931E2E">
        <w:rPr>
          <w:b/>
          <w:bCs/>
          <w:szCs w:val="24"/>
        </w:rPr>
        <w:t xml:space="preserve"> galimos neigiamos priimto sprendimo pasekmės ir kokių priemonių reikėtų imtis, kad tokių pasekmių būtų išvengta</w:t>
      </w:r>
    </w:p>
    <w:p w:rsidR="00931E2E" w:rsidRPr="00931E2E" w:rsidRDefault="00931E2E" w:rsidP="00931E2E">
      <w:pPr>
        <w:ind w:firstLine="731"/>
        <w:jc w:val="both"/>
        <w:rPr>
          <w:i/>
          <w:szCs w:val="24"/>
        </w:rPr>
      </w:pPr>
      <w:r w:rsidRPr="00931E2E">
        <w:rPr>
          <w:i/>
          <w:szCs w:val="24"/>
        </w:rPr>
        <w:t>Priėmus sprendimo projektą, neigiamų pasekmių nenumatoma.</w:t>
      </w:r>
    </w:p>
    <w:p w:rsidR="00931E2E" w:rsidRPr="00931E2E" w:rsidRDefault="00931E2E" w:rsidP="00931E2E">
      <w:pPr>
        <w:ind w:firstLine="731"/>
        <w:jc w:val="both"/>
        <w:rPr>
          <w:b/>
          <w:bCs/>
          <w:szCs w:val="24"/>
        </w:rPr>
      </w:pPr>
      <w:r w:rsidRPr="00931E2E">
        <w:rPr>
          <w:b/>
          <w:bCs/>
          <w:szCs w:val="24"/>
        </w:rPr>
        <w:t xml:space="preserve">5. Jeigu sprendimui įgyvendinti reikia įgyvendinamųjų teisės aktų, – kas ir kada juos turėtų priimti </w:t>
      </w:r>
    </w:p>
    <w:p w:rsidR="00931E2E" w:rsidRDefault="00931E2E" w:rsidP="00931E2E">
      <w:pPr>
        <w:ind w:firstLine="720"/>
        <w:jc w:val="both"/>
        <w:rPr>
          <w:b/>
          <w:szCs w:val="24"/>
        </w:rPr>
      </w:pPr>
      <w:r w:rsidRPr="00931E2E">
        <w:rPr>
          <w:b/>
          <w:szCs w:val="24"/>
        </w:rPr>
        <w:t xml:space="preserve">6. Sprendimo projekto iniciatoriai </w:t>
      </w:r>
    </w:p>
    <w:p w:rsidR="00F61A93" w:rsidRPr="00F61A93" w:rsidRDefault="00F61A93" w:rsidP="00931E2E">
      <w:pPr>
        <w:ind w:firstLine="720"/>
        <w:jc w:val="both"/>
        <w:rPr>
          <w:i/>
          <w:szCs w:val="24"/>
        </w:rPr>
      </w:pPr>
      <w:r w:rsidRPr="00F61A93">
        <w:rPr>
          <w:i/>
          <w:szCs w:val="24"/>
        </w:rPr>
        <w:t>Švietimo ir sporto skyrius.</w:t>
      </w:r>
    </w:p>
    <w:p w:rsidR="00931E2E" w:rsidRPr="00931E2E" w:rsidRDefault="00931E2E" w:rsidP="00931E2E">
      <w:pPr>
        <w:ind w:firstLine="731"/>
        <w:jc w:val="both"/>
        <w:rPr>
          <w:b/>
          <w:szCs w:val="24"/>
        </w:rPr>
      </w:pPr>
      <w:r w:rsidRPr="00931E2E">
        <w:rPr>
          <w:b/>
          <w:szCs w:val="24"/>
        </w:rPr>
        <w:t>7</w:t>
      </w:r>
      <w:r w:rsidRPr="00931E2E">
        <w:rPr>
          <w:b/>
          <w:bCs/>
          <w:szCs w:val="24"/>
        </w:rPr>
        <w:t xml:space="preserve">. Sprendimo projekto rengimo metu gauti specialistų vertinimai ir išvados </w:t>
      </w:r>
    </w:p>
    <w:p w:rsidR="00931E2E" w:rsidRPr="007C2E3E" w:rsidRDefault="00137271" w:rsidP="00931E2E">
      <w:pPr>
        <w:snapToGrid w:val="0"/>
        <w:ind w:firstLine="720"/>
        <w:jc w:val="both"/>
        <w:rPr>
          <w:szCs w:val="24"/>
        </w:rPr>
      </w:pPr>
      <w:r w:rsidRPr="007C2E3E">
        <w:rPr>
          <w:szCs w:val="24"/>
        </w:rPr>
        <w:t>-</w:t>
      </w:r>
    </w:p>
    <w:p w:rsidR="00E27FE9" w:rsidRPr="007C2E3E" w:rsidRDefault="00E27FE9" w:rsidP="00931E2E">
      <w:pPr>
        <w:snapToGrid w:val="0"/>
        <w:ind w:firstLine="720"/>
        <w:jc w:val="both"/>
        <w:rPr>
          <w:szCs w:val="24"/>
        </w:rPr>
      </w:pPr>
    </w:p>
    <w:p w:rsidR="00E27FE9" w:rsidRPr="007C2E3E" w:rsidRDefault="00E27FE9" w:rsidP="00931E2E">
      <w:pPr>
        <w:snapToGrid w:val="0"/>
        <w:ind w:firstLine="720"/>
        <w:jc w:val="both"/>
        <w:rPr>
          <w:szCs w:val="24"/>
        </w:rPr>
      </w:pPr>
    </w:p>
    <w:p w:rsidR="00E27FE9" w:rsidRPr="007C2E3E" w:rsidRDefault="00E27FE9" w:rsidP="00931E2E">
      <w:pPr>
        <w:snapToGrid w:val="0"/>
        <w:ind w:firstLine="720"/>
        <w:jc w:val="both"/>
        <w:rPr>
          <w:szCs w:val="24"/>
        </w:rPr>
      </w:pPr>
    </w:p>
    <w:p w:rsidR="00931E2E" w:rsidRDefault="003E729C" w:rsidP="00931E2E">
      <w:pPr>
        <w:jc w:val="both"/>
        <w:rPr>
          <w:szCs w:val="24"/>
        </w:rPr>
      </w:pPr>
      <w:r>
        <w:rPr>
          <w:szCs w:val="24"/>
        </w:rPr>
        <w:t>Švietimo ir sporto skyriaus vyriausioji specialistė                                                       Vida Stokienė</w:t>
      </w:r>
    </w:p>
    <w:p w:rsidR="00045DCE" w:rsidRDefault="00045DCE" w:rsidP="00931E2E">
      <w:pPr>
        <w:jc w:val="both"/>
        <w:rPr>
          <w:szCs w:val="24"/>
        </w:rPr>
      </w:pPr>
    </w:p>
    <w:p w:rsidR="00045DCE" w:rsidRDefault="00045DCE" w:rsidP="00931E2E">
      <w:pPr>
        <w:jc w:val="both"/>
        <w:rPr>
          <w:szCs w:val="24"/>
        </w:rPr>
      </w:pPr>
    </w:p>
    <w:p w:rsidR="00045DCE" w:rsidRDefault="00045DCE" w:rsidP="00931E2E">
      <w:pPr>
        <w:jc w:val="both"/>
        <w:rPr>
          <w:szCs w:val="24"/>
        </w:rPr>
      </w:pPr>
    </w:p>
    <w:p w:rsidR="00045DCE" w:rsidRDefault="00045DCE" w:rsidP="00931E2E">
      <w:pPr>
        <w:jc w:val="both"/>
        <w:rPr>
          <w:szCs w:val="24"/>
        </w:rPr>
      </w:pPr>
    </w:p>
    <w:p w:rsidR="00045DCE" w:rsidRDefault="00045DCE" w:rsidP="00931E2E">
      <w:pPr>
        <w:jc w:val="both"/>
        <w:rPr>
          <w:szCs w:val="24"/>
        </w:rPr>
      </w:pPr>
    </w:p>
    <w:p w:rsidR="00045DCE" w:rsidRDefault="00045DCE" w:rsidP="00931E2E">
      <w:pPr>
        <w:jc w:val="both"/>
        <w:rPr>
          <w:szCs w:val="24"/>
        </w:rPr>
      </w:pPr>
    </w:p>
    <w:p w:rsidR="00045DCE" w:rsidRDefault="00045DCE" w:rsidP="00931E2E">
      <w:pPr>
        <w:jc w:val="both"/>
        <w:rPr>
          <w:szCs w:val="24"/>
        </w:rPr>
      </w:pPr>
    </w:p>
    <w:p w:rsidR="00045DCE" w:rsidRDefault="00045DCE" w:rsidP="00931E2E">
      <w:pPr>
        <w:jc w:val="both"/>
        <w:rPr>
          <w:szCs w:val="24"/>
        </w:rPr>
      </w:pPr>
    </w:p>
    <w:p w:rsidR="00045DCE" w:rsidRDefault="00045DCE" w:rsidP="00931E2E">
      <w:pPr>
        <w:jc w:val="both"/>
        <w:rPr>
          <w:szCs w:val="24"/>
        </w:rPr>
      </w:pPr>
    </w:p>
    <w:p w:rsidR="00045DCE" w:rsidRPr="00217F2D" w:rsidRDefault="00045DCE" w:rsidP="00045DCE">
      <w:pPr>
        <w:ind w:left="3888" w:firstLine="1296"/>
        <w:jc w:val="both"/>
        <w:rPr>
          <w:szCs w:val="24"/>
        </w:rPr>
      </w:pPr>
      <w:r w:rsidRPr="00217F2D">
        <w:rPr>
          <w:szCs w:val="24"/>
        </w:rPr>
        <w:t>PATVIRTINTA</w:t>
      </w:r>
    </w:p>
    <w:p w:rsidR="00045DCE" w:rsidRPr="00217F2D" w:rsidRDefault="00045DCE" w:rsidP="00045DCE">
      <w:pPr>
        <w:ind w:left="5184"/>
        <w:rPr>
          <w:szCs w:val="24"/>
        </w:rPr>
      </w:pPr>
      <w:r>
        <w:rPr>
          <w:szCs w:val="24"/>
        </w:rPr>
        <w:t xml:space="preserve">Pasvalio </w:t>
      </w:r>
      <w:r w:rsidRPr="00217F2D">
        <w:rPr>
          <w:szCs w:val="24"/>
        </w:rPr>
        <w:t xml:space="preserve"> rajono savivaldybės</w:t>
      </w:r>
    </w:p>
    <w:p w:rsidR="00045DCE" w:rsidRPr="00217F2D" w:rsidRDefault="00045DCE" w:rsidP="00045DCE">
      <w:pPr>
        <w:tabs>
          <w:tab w:val="left" w:pos="6379"/>
        </w:tabs>
        <w:ind w:left="5184"/>
        <w:rPr>
          <w:szCs w:val="24"/>
        </w:rPr>
      </w:pPr>
      <w:r w:rsidRPr="00217F2D">
        <w:rPr>
          <w:szCs w:val="24"/>
        </w:rPr>
        <w:t xml:space="preserve">tarybos 2020 m. </w:t>
      </w:r>
      <w:r>
        <w:rPr>
          <w:szCs w:val="24"/>
        </w:rPr>
        <w:t xml:space="preserve">birželio </w:t>
      </w:r>
      <w:r w:rsidRPr="00217F2D">
        <w:rPr>
          <w:szCs w:val="24"/>
        </w:rPr>
        <w:t xml:space="preserve"> d.</w:t>
      </w:r>
    </w:p>
    <w:p w:rsidR="00045DCE" w:rsidRPr="00217F2D" w:rsidRDefault="00045DCE" w:rsidP="00045DCE">
      <w:pPr>
        <w:tabs>
          <w:tab w:val="left" w:pos="6379"/>
        </w:tabs>
        <w:ind w:left="5184"/>
        <w:rPr>
          <w:szCs w:val="24"/>
        </w:rPr>
      </w:pPr>
      <w:r w:rsidRPr="00217F2D">
        <w:rPr>
          <w:szCs w:val="24"/>
        </w:rPr>
        <w:t>sprendimu Nr.</w:t>
      </w:r>
    </w:p>
    <w:p w:rsidR="00045DCE" w:rsidRPr="00217F2D" w:rsidRDefault="00045DCE" w:rsidP="00045DCE">
      <w:pPr>
        <w:jc w:val="right"/>
        <w:rPr>
          <w:szCs w:val="24"/>
        </w:rPr>
      </w:pPr>
    </w:p>
    <w:p w:rsidR="00045DCE" w:rsidRPr="00045DCE" w:rsidRDefault="00045DCE" w:rsidP="00045DCE">
      <w:pPr>
        <w:autoSpaceDE w:val="0"/>
        <w:autoSpaceDN w:val="0"/>
        <w:adjustRightInd w:val="0"/>
        <w:jc w:val="center"/>
        <w:rPr>
          <w:rStyle w:val="Puslapionumeris"/>
          <w:rFonts w:eastAsia="Calibri"/>
          <w:b/>
          <w:bCs/>
          <w:szCs w:val="24"/>
        </w:rPr>
      </w:pPr>
      <w:r>
        <w:rPr>
          <w:b/>
          <w:szCs w:val="24"/>
        </w:rPr>
        <w:t xml:space="preserve">PASVALIO </w:t>
      </w:r>
      <w:r w:rsidRPr="00B70B3D">
        <w:rPr>
          <w:rStyle w:val="Puslapionumeris"/>
          <w:b/>
          <w:szCs w:val="24"/>
        </w:rPr>
        <w:t xml:space="preserve"> </w:t>
      </w:r>
      <w:r w:rsidRPr="00217F2D">
        <w:rPr>
          <w:rStyle w:val="Puslapionumeris"/>
          <w:b/>
          <w:szCs w:val="24"/>
        </w:rPr>
        <w:t>RAJONO SAVIVALDYBĖS NEFORMALIOJO VAIKŲ ŠVIETIMO IR JO TEIKĖJŲ VEIKLOS KOKYBĖS UŽTIKRINIMO TVARKOS APRAŠAS</w:t>
      </w:r>
      <w:r w:rsidRPr="00045DCE">
        <w:rPr>
          <w:rFonts w:eastAsia="Calibri"/>
          <w:b/>
          <w:bCs/>
          <w:szCs w:val="24"/>
        </w:rPr>
        <w:t xml:space="preserve"> </w:t>
      </w:r>
    </w:p>
    <w:p w:rsidR="00045DCE" w:rsidRPr="00217F2D" w:rsidRDefault="00045DCE" w:rsidP="00045DCE">
      <w:pPr>
        <w:pStyle w:val="Pagrindinistekstas20"/>
        <w:rPr>
          <w:rStyle w:val="Puslapionumeris"/>
          <w:b/>
          <w:szCs w:val="24"/>
        </w:rPr>
      </w:pPr>
    </w:p>
    <w:p w:rsidR="00045DCE" w:rsidRPr="00217F2D" w:rsidRDefault="00045DCE" w:rsidP="00045DCE">
      <w:pPr>
        <w:pStyle w:val="CentrBold"/>
        <w:rPr>
          <w:rFonts w:ascii="Times New Roman" w:hAnsi="Times New Roman"/>
          <w:sz w:val="24"/>
          <w:szCs w:val="24"/>
          <w:lang w:val="lt-LT"/>
        </w:rPr>
      </w:pPr>
      <w:r w:rsidRPr="00217F2D">
        <w:rPr>
          <w:rFonts w:ascii="Times New Roman" w:hAnsi="Times New Roman"/>
          <w:sz w:val="24"/>
          <w:szCs w:val="24"/>
          <w:lang w:val="lt-LT"/>
        </w:rPr>
        <w:t xml:space="preserve">I SKYRIUS </w:t>
      </w:r>
    </w:p>
    <w:p w:rsidR="00045DCE" w:rsidRPr="00217F2D" w:rsidRDefault="00045DCE" w:rsidP="00045DCE">
      <w:pPr>
        <w:pStyle w:val="CentrBold"/>
        <w:rPr>
          <w:rFonts w:ascii="Times New Roman" w:hAnsi="Times New Roman"/>
          <w:sz w:val="24"/>
          <w:szCs w:val="24"/>
          <w:lang w:val="lt-LT"/>
        </w:rPr>
      </w:pPr>
      <w:r w:rsidRPr="00217F2D">
        <w:rPr>
          <w:rFonts w:ascii="Times New Roman" w:hAnsi="Times New Roman"/>
          <w:sz w:val="24"/>
          <w:szCs w:val="24"/>
          <w:lang w:val="lt-LT"/>
        </w:rPr>
        <w:t>BENDROSIOS NUOSTATOS</w:t>
      </w:r>
    </w:p>
    <w:p w:rsidR="00045DCE" w:rsidRPr="00217F2D" w:rsidRDefault="00045DCE" w:rsidP="00045DCE">
      <w:pPr>
        <w:pStyle w:val="MAZAS"/>
        <w:rPr>
          <w:rFonts w:ascii="Times New Roman" w:hAnsi="Times New Roman"/>
          <w:color w:val="auto"/>
          <w:sz w:val="24"/>
          <w:szCs w:val="24"/>
          <w:lang w:val="lt-LT"/>
        </w:rPr>
      </w:pPr>
    </w:p>
    <w:p w:rsidR="00045DCE" w:rsidRPr="00217F2D" w:rsidRDefault="00045DCE" w:rsidP="00045DCE">
      <w:pPr>
        <w:tabs>
          <w:tab w:val="left" w:pos="0"/>
          <w:tab w:val="left" w:pos="851"/>
        </w:tabs>
        <w:autoSpaceDE w:val="0"/>
        <w:autoSpaceDN w:val="0"/>
        <w:adjustRightInd w:val="0"/>
        <w:jc w:val="both"/>
        <w:rPr>
          <w:szCs w:val="24"/>
        </w:rPr>
      </w:pPr>
      <w:r w:rsidRPr="00217F2D">
        <w:rPr>
          <w:szCs w:val="24"/>
        </w:rPr>
        <w:tab/>
        <w:t>1</w:t>
      </w:r>
      <w:r w:rsidRPr="003548BD">
        <w:rPr>
          <w:szCs w:val="24"/>
        </w:rPr>
        <w:t xml:space="preserve">. </w:t>
      </w:r>
      <w:r>
        <w:rPr>
          <w:szCs w:val="24"/>
        </w:rPr>
        <w:t>Pasvalio</w:t>
      </w:r>
      <w:r w:rsidRPr="00217F2D">
        <w:rPr>
          <w:szCs w:val="24"/>
        </w:rPr>
        <w:t xml:space="preserve"> rajono savivaldybės (toliau – Savivaldybė) neformaliojo vaikų švietimo ir jo teikėjų kokybės užtikrinimo tvarkos aprašo (toliau – Tvarkos aprašas) nustat</w:t>
      </w:r>
      <w:r w:rsidR="007C2E3E">
        <w:rPr>
          <w:szCs w:val="24"/>
        </w:rPr>
        <w:t>o</w:t>
      </w:r>
      <w:r w:rsidRPr="00217F2D">
        <w:rPr>
          <w:szCs w:val="24"/>
        </w:rPr>
        <w:t xml:space="preserve"> neformaliojo vaikų švietimo ir formalųjį švietimą papildančio ugdymo mokyklų ir kitų neformaliojo vaikų švietimo teikėjų (įstaigų, įmonių, laisvųjų mokytojų, organizacijų ar jų padalinių) (toliau – NVŠ teikėjai) </w:t>
      </w:r>
      <w:r w:rsidR="007C2E3E">
        <w:rPr>
          <w:szCs w:val="24"/>
        </w:rPr>
        <w:t xml:space="preserve">vykdomo </w:t>
      </w:r>
      <w:r w:rsidR="007C2E3E" w:rsidRPr="00217F2D">
        <w:rPr>
          <w:szCs w:val="24"/>
        </w:rPr>
        <w:t xml:space="preserve">neformaliojo vaikų švietimo (toliau – NVŠ) </w:t>
      </w:r>
      <w:r w:rsidR="007C2E3E">
        <w:rPr>
          <w:szCs w:val="24"/>
        </w:rPr>
        <w:t xml:space="preserve">stebėsenos, </w:t>
      </w:r>
      <w:r w:rsidRPr="00217F2D">
        <w:rPr>
          <w:szCs w:val="24"/>
        </w:rPr>
        <w:t>veiklos įsivertinimo</w:t>
      </w:r>
      <w:r w:rsidR="007C2E3E">
        <w:rPr>
          <w:szCs w:val="24"/>
        </w:rPr>
        <w:t xml:space="preserve"> tvarką, išorinio vertinimo</w:t>
      </w:r>
      <w:r w:rsidRPr="00217F2D">
        <w:rPr>
          <w:szCs w:val="24"/>
        </w:rPr>
        <w:t xml:space="preserve"> organizavimą ir vykdymą. </w:t>
      </w:r>
    </w:p>
    <w:p w:rsidR="00045DCE" w:rsidRPr="00217F2D" w:rsidRDefault="00045DCE" w:rsidP="00045DCE">
      <w:pPr>
        <w:tabs>
          <w:tab w:val="left" w:pos="851"/>
          <w:tab w:val="left" w:pos="1134"/>
        </w:tabs>
        <w:autoSpaceDE w:val="0"/>
        <w:autoSpaceDN w:val="0"/>
        <w:adjustRightInd w:val="0"/>
        <w:jc w:val="both"/>
        <w:rPr>
          <w:szCs w:val="24"/>
        </w:rPr>
      </w:pPr>
      <w:r w:rsidRPr="00217F2D">
        <w:rPr>
          <w:szCs w:val="24"/>
        </w:rPr>
        <w:tab/>
        <w:t xml:space="preserve">2. Tvarkos aprašas apima šiuos NVŠ kokybės užtikrinimo elementus: NVŠ stebėseną, veiklos įsivertinimą ir išorinį vertinimą bei tyrimus. </w:t>
      </w:r>
    </w:p>
    <w:p w:rsidR="00045DCE" w:rsidRDefault="00045DCE" w:rsidP="00045DCE">
      <w:pPr>
        <w:tabs>
          <w:tab w:val="left" w:pos="851"/>
          <w:tab w:val="left" w:pos="1134"/>
        </w:tabs>
        <w:autoSpaceDE w:val="0"/>
        <w:autoSpaceDN w:val="0"/>
        <w:adjustRightInd w:val="0"/>
        <w:jc w:val="both"/>
        <w:rPr>
          <w:szCs w:val="24"/>
        </w:rPr>
      </w:pPr>
      <w:r w:rsidRPr="00217F2D">
        <w:rPr>
          <w:szCs w:val="24"/>
        </w:rPr>
        <w:tab/>
        <w:t xml:space="preserve">3. </w:t>
      </w:r>
      <w:r w:rsidRPr="00045DCE">
        <w:rPr>
          <w:szCs w:val="24"/>
        </w:rPr>
        <w:t>Tvarkos apraš</w:t>
      </w:r>
      <w:r w:rsidR="007C2E3E">
        <w:rPr>
          <w:szCs w:val="24"/>
        </w:rPr>
        <w:t>o</w:t>
      </w:r>
      <w:r w:rsidRPr="00045DCE">
        <w:rPr>
          <w:szCs w:val="24"/>
        </w:rPr>
        <w:t xml:space="preserve"> nuostatos privalomos neformaliojo vaikų švietimo ir formalųjį švietimą papildančio ugdymo mokykloms. Kiti NVŠ teikėjai išoriniame vertinime gali dalyvauti jiems patiems pageidaujant. </w:t>
      </w:r>
    </w:p>
    <w:p w:rsidR="00045DCE" w:rsidRPr="00217F2D" w:rsidRDefault="00045DCE" w:rsidP="00045DCE">
      <w:pPr>
        <w:pStyle w:val="Hyperlink1"/>
        <w:ind w:firstLine="0"/>
        <w:jc w:val="center"/>
        <w:rPr>
          <w:rFonts w:ascii="Times New Roman" w:hAnsi="Times New Roman"/>
          <w:b/>
          <w:sz w:val="24"/>
          <w:szCs w:val="24"/>
          <w:lang w:val="lt-LT"/>
        </w:rPr>
      </w:pPr>
      <w:r w:rsidRPr="00045DCE">
        <w:rPr>
          <w:rFonts w:ascii="Times New Roman" w:eastAsia="Calibri" w:hAnsi="Times New Roman"/>
          <w:b/>
          <w:bCs/>
          <w:sz w:val="24"/>
          <w:szCs w:val="24"/>
          <w:lang w:val="lt-LT"/>
        </w:rPr>
        <w:t>II</w:t>
      </w:r>
      <w:r w:rsidRPr="00217F2D">
        <w:rPr>
          <w:rFonts w:ascii="Times New Roman" w:hAnsi="Times New Roman"/>
          <w:b/>
          <w:sz w:val="24"/>
          <w:szCs w:val="24"/>
          <w:lang w:val="lt-LT"/>
        </w:rPr>
        <w:t xml:space="preserve"> SKYRIUS</w:t>
      </w:r>
    </w:p>
    <w:p w:rsidR="00045DCE" w:rsidRPr="00217F2D" w:rsidRDefault="00045DCE" w:rsidP="00045DCE">
      <w:pPr>
        <w:pStyle w:val="Hyperlink1"/>
        <w:ind w:firstLine="0"/>
        <w:jc w:val="center"/>
        <w:rPr>
          <w:rFonts w:ascii="Times New Roman" w:hAnsi="Times New Roman"/>
          <w:b/>
          <w:sz w:val="24"/>
          <w:szCs w:val="24"/>
          <w:lang w:val="lt-LT"/>
        </w:rPr>
      </w:pPr>
      <w:r w:rsidRPr="00217F2D">
        <w:rPr>
          <w:rFonts w:ascii="Times New Roman" w:hAnsi="Times New Roman"/>
          <w:b/>
          <w:sz w:val="24"/>
          <w:szCs w:val="24"/>
          <w:lang w:val="lt-LT"/>
        </w:rPr>
        <w:t>NEFORMALIOJO VAIKŲ ŠVIETIMO STEBĖSENA</w:t>
      </w:r>
    </w:p>
    <w:p w:rsidR="00045DCE" w:rsidRPr="00217F2D" w:rsidRDefault="00045DCE" w:rsidP="00045DCE">
      <w:pPr>
        <w:pStyle w:val="Hyperlink1"/>
        <w:ind w:firstLine="0"/>
        <w:jc w:val="center"/>
        <w:rPr>
          <w:rFonts w:ascii="Times New Roman" w:hAnsi="Times New Roman"/>
          <w:b/>
          <w:sz w:val="24"/>
          <w:szCs w:val="24"/>
          <w:lang w:val="lt-LT"/>
        </w:rPr>
      </w:pPr>
    </w:p>
    <w:p w:rsidR="00045DCE" w:rsidRPr="00217F2D" w:rsidRDefault="00045DCE" w:rsidP="00045DCE">
      <w:pPr>
        <w:tabs>
          <w:tab w:val="left" w:pos="851"/>
          <w:tab w:val="left" w:pos="1134"/>
        </w:tabs>
        <w:jc w:val="both"/>
        <w:rPr>
          <w:szCs w:val="24"/>
        </w:rPr>
      </w:pPr>
      <w:r w:rsidRPr="00217F2D">
        <w:rPr>
          <w:szCs w:val="24"/>
        </w:rPr>
        <w:tab/>
        <w:t xml:space="preserve">4. NVŠ stebėsenos </w:t>
      </w:r>
      <w:r w:rsidR="007C2E3E">
        <w:rPr>
          <w:szCs w:val="24"/>
        </w:rPr>
        <w:t>tikslas</w:t>
      </w:r>
      <w:r w:rsidRPr="00217F2D">
        <w:rPr>
          <w:szCs w:val="24"/>
        </w:rPr>
        <w:t>:</w:t>
      </w:r>
    </w:p>
    <w:p w:rsidR="00045DCE" w:rsidRPr="00217F2D" w:rsidRDefault="00045DCE" w:rsidP="00045DCE">
      <w:pPr>
        <w:tabs>
          <w:tab w:val="left" w:pos="851"/>
        </w:tabs>
        <w:jc w:val="both"/>
        <w:rPr>
          <w:szCs w:val="24"/>
        </w:rPr>
      </w:pPr>
      <w:r w:rsidRPr="00217F2D">
        <w:rPr>
          <w:szCs w:val="24"/>
        </w:rPr>
        <w:tab/>
        <w:t xml:space="preserve">4.1. nustatyti NVŠ būklę, analizuoti, planuoti jos kaitą, vertinti vykdomų priemonių įtaką NVŠ tikslams ir švietimo strateginiams tikslams pasiekti, </w:t>
      </w:r>
      <w:r w:rsidRPr="00BC5E5E">
        <w:rPr>
          <w:szCs w:val="24"/>
        </w:rPr>
        <w:t>planuoti</w:t>
      </w:r>
      <w:r>
        <w:rPr>
          <w:szCs w:val="24"/>
        </w:rPr>
        <w:t xml:space="preserve"> </w:t>
      </w:r>
      <w:r w:rsidRPr="00217F2D">
        <w:rPr>
          <w:szCs w:val="24"/>
        </w:rPr>
        <w:t xml:space="preserve">galimas intervencijas NVŠ kokybei gerinti; </w:t>
      </w:r>
    </w:p>
    <w:p w:rsidR="00045DCE" w:rsidRPr="00217F2D" w:rsidRDefault="00045DCE" w:rsidP="00045DCE">
      <w:pPr>
        <w:tabs>
          <w:tab w:val="left" w:pos="851"/>
        </w:tabs>
        <w:autoSpaceDE w:val="0"/>
        <w:autoSpaceDN w:val="0"/>
        <w:adjustRightInd w:val="0"/>
        <w:jc w:val="both"/>
        <w:rPr>
          <w:szCs w:val="24"/>
        </w:rPr>
      </w:pPr>
      <w:r w:rsidRPr="00217F2D">
        <w:rPr>
          <w:szCs w:val="24"/>
        </w:rPr>
        <w:tab/>
        <w:t>4.2. padėti NVŠ teikėjams užtikrinti neformaliojo vaikų švietimo programų kokybę (toliau – NVŠ programos), didinti jų įvairovę</w:t>
      </w:r>
      <w:r>
        <w:rPr>
          <w:szCs w:val="24"/>
        </w:rPr>
        <w:t xml:space="preserve">, dalyvaujančių vaikų skaičių </w:t>
      </w:r>
      <w:r w:rsidRPr="00741A42">
        <w:rPr>
          <w:szCs w:val="24"/>
        </w:rPr>
        <w:t>ir prieinamumą.</w:t>
      </w:r>
      <w:r w:rsidRPr="00217F2D">
        <w:rPr>
          <w:szCs w:val="24"/>
        </w:rPr>
        <w:t xml:space="preserve"> </w:t>
      </w:r>
    </w:p>
    <w:p w:rsidR="00045DCE" w:rsidRPr="00CF110A" w:rsidRDefault="00045DCE" w:rsidP="00045DCE">
      <w:pPr>
        <w:tabs>
          <w:tab w:val="left" w:pos="851"/>
        </w:tabs>
        <w:jc w:val="both"/>
        <w:rPr>
          <w:szCs w:val="24"/>
        </w:rPr>
      </w:pPr>
      <w:r w:rsidRPr="00217F2D">
        <w:rPr>
          <w:szCs w:val="24"/>
        </w:rPr>
        <w:tab/>
        <w:t xml:space="preserve">5. NVŠ stebėsena vykdoma </w:t>
      </w:r>
      <w:r w:rsidR="008D6F1F">
        <w:rPr>
          <w:szCs w:val="24"/>
        </w:rPr>
        <w:t xml:space="preserve">užpildant Neformaliojo vaikų švietimo ir jo teikėjų veiklos kokybės užtikrinimo metodikos, patvirtintos </w:t>
      </w:r>
      <w:r w:rsidR="008D6F1F" w:rsidRPr="00C10B32">
        <w:rPr>
          <w:szCs w:val="24"/>
        </w:rPr>
        <w:t>Lietuvos Respublikos švietimo ir mokslo ministro 2019 m. kovo 28 d. įsakym</w:t>
      </w:r>
      <w:r w:rsidR="008D6F1F">
        <w:rPr>
          <w:szCs w:val="24"/>
        </w:rPr>
        <w:t>u</w:t>
      </w:r>
      <w:r w:rsidR="008D6F1F" w:rsidRPr="00C10B32">
        <w:rPr>
          <w:szCs w:val="24"/>
        </w:rPr>
        <w:t xml:space="preserve"> Nr. V-342 „Dėl Neformaliojo vaikų švietimo ir jo teikėjų veiklos kokybės užtikrinimo metodikos patvirtinimo“</w:t>
      </w:r>
      <w:r w:rsidR="008D6F1F">
        <w:rPr>
          <w:szCs w:val="24"/>
        </w:rPr>
        <w:t>,</w:t>
      </w:r>
      <w:r w:rsidRPr="00217F2D">
        <w:rPr>
          <w:szCs w:val="24"/>
        </w:rPr>
        <w:t xml:space="preserve"> </w:t>
      </w:r>
      <w:r w:rsidR="008D6F1F">
        <w:rPr>
          <w:szCs w:val="24"/>
        </w:rPr>
        <w:t xml:space="preserve">(toliau – Metodika) </w:t>
      </w:r>
      <w:r w:rsidRPr="00217F2D">
        <w:rPr>
          <w:szCs w:val="24"/>
        </w:rPr>
        <w:t xml:space="preserve">1 priedą. NVŠ rodikliai vertinami kiekvienų metų spalio 1 d. ir kovo 1 d. Remiamasi Atviros informavimo ir konsultavimo sistemos (toliau ‒ AIKOS), Švietimo valdymo informacinės sistemos (toliau – ŠVIS), apklausų ir </w:t>
      </w:r>
      <w:r w:rsidRPr="00CF110A">
        <w:rPr>
          <w:szCs w:val="24"/>
        </w:rPr>
        <w:t xml:space="preserve">tyrimų duomenimis. </w:t>
      </w:r>
    </w:p>
    <w:p w:rsidR="00045DCE" w:rsidRPr="00217F2D" w:rsidRDefault="00045DCE" w:rsidP="00045DCE">
      <w:pPr>
        <w:tabs>
          <w:tab w:val="left" w:pos="851"/>
        </w:tabs>
        <w:jc w:val="both"/>
        <w:rPr>
          <w:szCs w:val="24"/>
        </w:rPr>
      </w:pPr>
      <w:r w:rsidRPr="00CF110A">
        <w:rPr>
          <w:szCs w:val="24"/>
        </w:rPr>
        <w:tab/>
        <w:t xml:space="preserve">6. NVŠ teikėjai iki kiekvienų metų rugsėjo 30 d. ir iki vasario 28 d. suveda duomenis į Mokinių registrą, Kvalifikacijos tobulinimo programų ir renginių registrą (toliau – KTPRR), Švietimo valdymo informacinę sistemą pagal Tvarkos aprašo </w:t>
      </w:r>
      <w:r w:rsidR="008D6F1F">
        <w:rPr>
          <w:szCs w:val="24"/>
        </w:rPr>
        <w:t>5 punkte nurodyto dokumento duomenis (1 priedas)</w:t>
      </w:r>
      <w:r w:rsidRPr="00CF110A">
        <w:rPr>
          <w:szCs w:val="24"/>
        </w:rPr>
        <w:t>.</w:t>
      </w:r>
      <w:r w:rsidRPr="00217F2D">
        <w:rPr>
          <w:szCs w:val="24"/>
        </w:rPr>
        <w:t xml:space="preserve"> </w:t>
      </w:r>
    </w:p>
    <w:p w:rsidR="00045DCE" w:rsidRPr="00217F2D" w:rsidRDefault="00045DCE" w:rsidP="00045DCE">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szCs w:val="24"/>
        </w:rPr>
      </w:pPr>
    </w:p>
    <w:p w:rsidR="00045DCE" w:rsidRPr="00217F2D" w:rsidRDefault="00045DCE" w:rsidP="00045DCE">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217F2D">
        <w:rPr>
          <w:b/>
          <w:szCs w:val="24"/>
        </w:rPr>
        <w:t>III SKYRIUS</w:t>
      </w:r>
    </w:p>
    <w:p w:rsidR="00045DCE" w:rsidRPr="00217F2D" w:rsidRDefault="00045DCE" w:rsidP="00045DCE">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Cs w:val="24"/>
        </w:rPr>
      </w:pPr>
      <w:r w:rsidRPr="00217F2D">
        <w:rPr>
          <w:b/>
          <w:caps/>
          <w:szCs w:val="24"/>
        </w:rPr>
        <w:t>NVŠ teikėjų veiklos įsivertinimAS ir išoriniS vertinimAS</w:t>
      </w:r>
    </w:p>
    <w:p w:rsidR="00045DCE" w:rsidRPr="00217F2D" w:rsidRDefault="00045DCE" w:rsidP="00045DCE">
      <w:pPr>
        <w:tabs>
          <w:tab w:val="left" w:pos="993"/>
        </w:tabs>
        <w:ind w:firstLine="709"/>
        <w:jc w:val="both"/>
        <w:rPr>
          <w:szCs w:val="24"/>
        </w:rPr>
      </w:pPr>
    </w:p>
    <w:p w:rsidR="00045DCE" w:rsidRPr="00217F2D" w:rsidRDefault="00045DCE" w:rsidP="00045DCE">
      <w:pPr>
        <w:tabs>
          <w:tab w:val="left" w:pos="0"/>
          <w:tab w:val="left" w:pos="851"/>
        </w:tabs>
        <w:jc w:val="both"/>
        <w:rPr>
          <w:szCs w:val="24"/>
        </w:rPr>
      </w:pPr>
      <w:r w:rsidRPr="00217F2D">
        <w:rPr>
          <w:szCs w:val="24"/>
        </w:rPr>
        <w:tab/>
        <w:t xml:space="preserve">7. Įsivertinimas ir išorinis vertinimas vykdomas šiose srityse: </w:t>
      </w:r>
    </w:p>
    <w:p w:rsidR="00045DCE" w:rsidRPr="00217F2D" w:rsidRDefault="00045DCE" w:rsidP="00045DCE">
      <w:pPr>
        <w:tabs>
          <w:tab w:val="left" w:pos="851"/>
        </w:tabs>
        <w:jc w:val="both"/>
        <w:rPr>
          <w:szCs w:val="24"/>
        </w:rPr>
      </w:pPr>
      <w:r w:rsidRPr="00217F2D">
        <w:rPr>
          <w:szCs w:val="24"/>
        </w:rPr>
        <w:tab/>
        <w:t>7.1. ugdymo pasiekimai ir pažanga;</w:t>
      </w:r>
    </w:p>
    <w:p w:rsidR="00045DCE" w:rsidRPr="00217F2D" w:rsidRDefault="00045DCE" w:rsidP="00045DCE">
      <w:pPr>
        <w:tabs>
          <w:tab w:val="left" w:pos="0"/>
          <w:tab w:val="left" w:pos="851"/>
        </w:tabs>
        <w:jc w:val="both"/>
        <w:rPr>
          <w:szCs w:val="24"/>
        </w:rPr>
      </w:pPr>
      <w:r w:rsidRPr="00217F2D">
        <w:rPr>
          <w:szCs w:val="24"/>
        </w:rPr>
        <w:tab/>
        <w:t>7.2. ugdymo organizavimas;</w:t>
      </w:r>
    </w:p>
    <w:p w:rsidR="00045DCE" w:rsidRPr="00217F2D" w:rsidRDefault="00045DCE" w:rsidP="00045DCE">
      <w:pPr>
        <w:tabs>
          <w:tab w:val="left" w:pos="851"/>
        </w:tabs>
        <w:jc w:val="both"/>
        <w:rPr>
          <w:szCs w:val="24"/>
        </w:rPr>
      </w:pPr>
      <w:r w:rsidRPr="00217F2D">
        <w:rPr>
          <w:szCs w:val="24"/>
        </w:rPr>
        <w:tab/>
        <w:t>7.3. ugdymo aplinka;</w:t>
      </w:r>
    </w:p>
    <w:p w:rsidR="00045DCE" w:rsidRPr="00217F2D" w:rsidRDefault="00045DCE" w:rsidP="00045DCE">
      <w:pPr>
        <w:tabs>
          <w:tab w:val="left" w:pos="851"/>
        </w:tabs>
        <w:jc w:val="both"/>
        <w:rPr>
          <w:szCs w:val="24"/>
        </w:rPr>
      </w:pPr>
      <w:r w:rsidRPr="00217F2D">
        <w:rPr>
          <w:szCs w:val="24"/>
        </w:rPr>
        <w:tab/>
        <w:t xml:space="preserve">7.4. lyderystė ir vadyba. </w:t>
      </w:r>
    </w:p>
    <w:p w:rsidR="00045DCE" w:rsidRPr="00217F2D" w:rsidRDefault="00045DCE" w:rsidP="00045DCE">
      <w:pPr>
        <w:tabs>
          <w:tab w:val="left" w:pos="851"/>
        </w:tabs>
        <w:jc w:val="both"/>
        <w:rPr>
          <w:szCs w:val="24"/>
        </w:rPr>
      </w:pPr>
      <w:r w:rsidRPr="00217F2D">
        <w:rPr>
          <w:szCs w:val="24"/>
        </w:rPr>
        <w:tab/>
        <w:t>8. Tvarkos aprašo 7 punkte nurodytos sritys vertinamos pagal NVŠ teikėjų veiklos kokybės rodiklių įsivertinimo ir išorinio vertinimo rezultat</w:t>
      </w:r>
      <w:r w:rsidR="008D6F1F">
        <w:rPr>
          <w:szCs w:val="24"/>
        </w:rPr>
        <w:t>us, užpildant</w:t>
      </w:r>
      <w:r w:rsidRPr="00217F2D">
        <w:rPr>
          <w:szCs w:val="24"/>
        </w:rPr>
        <w:t xml:space="preserve"> </w:t>
      </w:r>
      <w:r w:rsidR="008D6F1F">
        <w:rPr>
          <w:szCs w:val="24"/>
        </w:rPr>
        <w:t xml:space="preserve">Metodikos </w:t>
      </w:r>
      <w:r w:rsidR="008D6F1F" w:rsidRPr="00217F2D">
        <w:rPr>
          <w:szCs w:val="24"/>
        </w:rPr>
        <w:t>2 pried</w:t>
      </w:r>
      <w:r w:rsidR="008D6F1F">
        <w:rPr>
          <w:szCs w:val="24"/>
        </w:rPr>
        <w:t>ą.</w:t>
      </w:r>
    </w:p>
    <w:p w:rsidR="00045DCE" w:rsidRPr="00217F2D" w:rsidRDefault="00045DCE" w:rsidP="00045DCE">
      <w:pPr>
        <w:tabs>
          <w:tab w:val="left" w:pos="851"/>
        </w:tabs>
        <w:jc w:val="both"/>
        <w:rPr>
          <w:szCs w:val="24"/>
        </w:rPr>
      </w:pPr>
      <w:r w:rsidRPr="00217F2D">
        <w:rPr>
          <w:szCs w:val="24"/>
        </w:rPr>
        <w:tab/>
        <w:t xml:space="preserve">9. </w:t>
      </w:r>
      <w:r w:rsidRPr="00741A42">
        <w:rPr>
          <w:szCs w:val="24"/>
        </w:rPr>
        <w:t xml:space="preserve">NVŠ teikėjai veiklos įsivertinimą atlieka kiekvienais metais iki gegužės 1 d. </w:t>
      </w:r>
      <w:r w:rsidR="008D6F1F">
        <w:rPr>
          <w:szCs w:val="24"/>
        </w:rPr>
        <w:t>užpildydami Metodikos</w:t>
      </w:r>
      <w:r w:rsidRPr="00217F2D">
        <w:rPr>
          <w:szCs w:val="24"/>
        </w:rPr>
        <w:t xml:space="preserve"> 2 pried</w:t>
      </w:r>
      <w:r w:rsidR="008D6F1F">
        <w:rPr>
          <w:szCs w:val="24"/>
        </w:rPr>
        <w:t>ą</w:t>
      </w:r>
      <w:r w:rsidRPr="00217F2D">
        <w:rPr>
          <w:szCs w:val="24"/>
        </w:rPr>
        <w:t xml:space="preserve">. </w:t>
      </w:r>
    </w:p>
    <w:p w:rsidR="00045DCE" w:rsidRPr="00217F2D" w:rsidRDefault="00045DCE" w:rsidP="00045DCE">
      <w:pPr>
        <w:tabs>
          <w:tab w:val="left" w:pos="851"/>
        </w:tabs>
        <w:jc w:val="both"/>
        <w:rPr>
          <w:szCs w:val="24"/>
        </w:rPr>
      </w:pPr>
      <w:r w:rsidRPr="00217F2D">
        <w:rPr>
          <w:szCs w:val="24"/>
        </w:rPr>
        <w:tab/>
        <w:t xml:space="preserve">10. Išorinis NVŠ ir jo teikėjų vertinimas (toliau – NVŠ išorinis vertinimas) vykdomas po teikėjų įsivertinimo, kas 5-eri metai, remiantis </w:t>
      </w:r>
      <w:r w:rsidR="008D6F1F">
        <w:rPr>
          <w:szCs w:val="24"/>
        </w:rPr>
        <w:t>Metodikos</w:t>
      </w:r>
      <w:r w:rsidRPr="00217F2D">
        <w:rPr>
          <w:szCs w:val="24"/>
        </w:rPr>
        <w:t xml:space="preserve"> 2 priedu.</w:t>
      </w:r>
    </w:p>
    <w:p w:rsidR="00045DCE" w:rsidRPr="00217F2D" w:rsidRDefault="00045DCE" w:rsidP="00045DCE">
      <w:pPr>
        <w:tabs>
          <w:tab w:val="left" w:pos="851"/>
        </w:tabs>
        <w:jc w:val="both"/>
        <w:rPr>
          <w:szCs w:val="24"/>
        </w:rPr>
      </w:pPr>
      <w:r w:rsidRPr="00217F2D">
        <w:rPr>
          <w:szCs w:val="24"/>
        </w:rPr>
        <w:tab/>
        <w:t xml:space="preserve">11. Pirmą kartą NVŠ išorinis vertinimas atliekamas pagal visus </w:t>
      </w:r>
      <w:r w:rsidR="008D6F1F">
        <w:rPr>
          <w:szCs w:val="24"/>
        </w:rPr>
        <w:t>Metodikos</w:t>
      </w:r>
      <w:r w:rsidR="00933AC3">
        <w:rPr>
          <w:szCs w:val="24"/>
        </w:rPr>
        <w:t xml:space="preserve"> </w:t>
      </w:r>
      <w:r w:rsidRPr="00217F2D">
        <w:rPr>
          <w:szCs w:val="24"/>
        </w:rPr>
        <w:t xml:space="preserve">2 priede nurodytus kokybės rodiklius. Vertinant pakartotinai, gali būti atliekamas vienos ar kelių sričių NVŠ išorinis vertinimas ar vertinama pagal tikslingai pasirinktus rodiklius. Neformaliojo vaikų švietimo ir formalųjį švietimą papildančio ugdymo mokyklų </w:t>
      </w:r>
      <w:r w:rsidRPr="00741A42">
        <w:rPr>
          <w:szCs w:val="24"/>
        </w:rPr>
        <w:t xml:space="preserve">įsivertinimo sritis pasirenka </w:t>
      </w:r>
      <w:r w:rsidR="008D6F1F">
        <w:rPr>
          <w:szCs w:val="24"/>
        </w:rPr>
        <w:t xml:space="preserve">atitinkamos </w:t>
      </w:r>
      <w:r w:rsidRPr="00741A42">
        <w:rPr>
          <w:szCs w:val="24"/>
        </w:rPr>
        <w:t>mokyklos taryba.</w:t>
      </w:r>
    </w:p>
    <w:p w:rsidR="00045DCE" w:rsidRPr="00217F2D" w:rsidRDefault="00045DCE" w:rsidP="00045DCE">
      <w:pPr>
        <w:ind w:firstLine="1134"/>
        <w:jc w:val="both"/>
        <w:rPr>
          <w:strike/>
          <w:szCs w:val="24"/>
        </w:rPr>
      </w:pPr>
    </w:p>
    <w:p w:rsidR="00045DCE" w:rsidRPr="00217F2D" w:rsidRDefault="00045DCE" w:rsidP="00045DCE">
      <w:pPr>
        <w:jc w:val="center"/>
        <w:rPr>
          <w:rFonts w:eastAsia="Calibri"/>
          <w:b/>
          <w:bCs/>
          <w:szCs w:val="24"/>
        </w:rPr>
      </w:pPr>
      <w:r w:rsidRPr="00217F2D">
        <w:rPr>
          <w:rFonts w:eastAsia="Calibri"/>
          <w:b/>
          <w:bCs/>
          <w:szCs w:val="24"/>
        </w:rPr>
        <w:t>IV SKYRIUS</w:t>
      </w:r>
    </w:p>
    <w:p w:rsidR="00045DCE" w:rsidRPr="00217F2D" w:rsidRDefault="00045DCE" w:rsidP="00045DCE">
      <w:pPr>
        <w:jc w:val="center"/>
        <w:rPr>
          <w:rFonts w:eastAsia="Calibri"/>
          <w:b/>
          <w:bCs/>
          <w:szCs w:val="24"/>
        </w:rPr>
      </w:pPr>
      <w:r w:rsidRPr="00217F2D">
        <w:rPr>
          <w:rFonts w:eastAsia="Calibri"/>
          <w:b/>
          <w:bCs/>
          <w:szCs w:val="24"/>
        </w:rPr>
        <w:t xml:space="preserve">NVŠ TEIKĖJŲ IŠORINIO VERTINIMO ORGANIZAVIMAS IR VYKDYMAS </w:t>
      </w:r>
    </w:p>
    <w:p w:rsidR="00045DCE" w:rsidRPr="00217F2D" w:rsidRDefault="00045DCE" w:rsidP="00045DCE">
      <w:pPr>
        <w:ind w:firstLine="1298"/>
        <w:jc w:val="both"/>
        <w:rPr>
          <w:rFonts w:eastAsia="Calibri"/>
          <w:szCs w:val="24"/>
        </w:rPr>
      </w:pPr>
    </w:p>
    <w:p w:rsidR="00045DCE" w:rsidRPr="00217F2D" w:rsidRDefault="00045DCE" w:rsidP="00045DCE">
      <w:pPr>
        <w:tabs>
          <w:tab w:val="left" w:pos="851"/>
        </w:tabs>
        <w:jc w:val="both"/>
        <w:rPr>
          <w:rFonts w:eastAsia="Calibri"/>
          <w:szCs w:val="24"/>
        </w:rPr>
      </w:pPr>
      <w:r w:rsidRPr="00217F2D">
        <w:rPr>
          <w:rFonts w:eastAsia="Calibri"/>
          <w:szCs w:val="24"/>
        </w:rPr>
        <w:tab/>
        <w:t>12. NVŠ teikėjų išorinio vertinimo uždaviniai:</w:t>
      </w:r>
    </w:p>
    <w:p w:rsidR="00045DCE" w:rsidRPr="00217F2D" w:rsidRDefault="00045DCE" w:rsidP="00045DCE">
      <w:pPr>
        <w:tabs>
          <w:tab w:val="left" w:pos="851"/>
        </w:tabs>
        <w:jc w:val="both"/>
        <w:rPr>
          <w:rFonts w:eastAsia="Calibri"/>
          <w:szCs w:val="24"/>
        </w:rPr>
      </w:pPr>
      <w:r w:rsidRPr="00217F2D">
        <w:rPr>
          <w:rFonts w:eastAsia="Calibri"/>
          <w:szCs w:val="24"/>
        </w:rPr>
        <w:tab/>
        <w:t>12.1. nustatyti stipriuosius ir tobulintinus NVŠ veiklos aspektus, turinčius įtakos mokinių pasiekimams;</w:t>
      </w:r>
    </w:p>
    <w:p w:rsidR="00045DCE" w:rsidRPr="00217F2D" w:rsidRDefault="00045DCE" w:rsidP="00045DCE">
      <w:pPr>
        <w:tabs>
          <w:tab w:val="left" w:pos="851"/>
        </w:tabs>
        <w:jc w:val="both"/>
        <w:rPr>
          <w:rFonts w:eastAsia="Calibri"/>
          <w:szCs w:val="24"/>
        </w:rPr>
      </w:pPr>
      <w:r w:rsidRPr="00217F2D">
        <w:rPr>
          <w:rFonts w:eastAsia="Calibri"/>
          <w:szCs w:val="24"/>
        </w:rPr>
        <w:tab/>
        <w:t>12.2. konsultuoti NVŠ teikėjus dėl veiklos tobulinimo;</w:t>
      </w:r>
    </w:p>
    <w:p w:rsidR="00045DCE" w:rsidRPr="00217F2D" w:rsidRDefault="00045DCE" w:rsidP="00045DCE">
      <w:pPr>
        <w:tabs>
          <w:tab w:val="left" w:pos="851"/>
        </w:tabs>
        <w:jc w:val="both"/>
        <w:rPr>
          <w:rFonts w:eastAsia="Calibri"/>
          <w:szCs w:val="24"/>
        </w:rPr>
      </w:pPr>
      <w:r w:rsidRPr="00217F2D">
        <w:rPr>
          <w:rFonts w:eastAsia="Calibri"/>
          <w:szCs w:val="24"/>
        </w:rPr>
        <w:tab/>
        <w:t xml:space="preserve">12.3. skatinti NVŠ teikėjų įsivertinimą; </w:t>
      </w:r>
    </w:p>
    <w:p w:rsidR="00045DCE" w:rsidRPr="00217F2D" w:rsidRDefault="00045DCE" w:rsidP="00045DCE">
      <w:pPr>
        <w:tabs>
          <w:tab w:val="left" w:pos="851"/>
        </w:tabs>
        <w:jc w:val="both"/>
        <w:rPr>
          <w:rFonts w:eastAsia="Calibri"/>
          <w:szCs w:val="24"/>
        </w:rPr>
      </w:pPr>
      <w:r w:rsidRPr="00217F2D">
        <w:rPr>
          <w:rFonts w:eastAsia="Calibri"/>
          <w:szCs w:val="24"/>
        </w:rPr>
        <w:tab/>
        <w:t>12.4. padėti priimti patikimais duomenimis grįstus sprendimus;</w:t>
      </w:r>
    </w:p>
    <w:p w:rsidR="00045DCE" w:rsidRPr="00217F2D" w:rsidRDefault="00045DCE" w:rsidP="00045DCE">
      <w:pPr>
        <w:tabs>
          <w:tab w:val="left" w:pos="851"/>
        </w:tabs>
        <w:jc w:val="both"/>
        <w:rPr>
          <w:rFonts w:eastAsia="Calibri"/>
          <w:szCs w:val="24"/>
        </w:rPr>
      </w:pPr>
      <w:r w:rsidRPr="00217F2D">
        <w:rPr>
          <w:rFonts w:eastAsia="Calibri"/>
          <w:szCs w:val="24"/>
        </w:rPr>
        <w:tab/>
        <w:t>12.5. inicijuoti, konsultuoti ir teikti pagalbą NVŠ teikėjams, mokiniams ir jų tėvams (globėjams, rūpintojams);</w:t>
      </w:r>
    </w:p>
    <w:p w:rsidR="00045DCE" w:rsidRPr="00217F2D" w:rsidRDefault="00045DCE" w:rsidP="00045DCE">
      <w:pPr>
        <w:tabs>
          <w:tab w:val="left" w:pos="851"/>
        </w:tabs>
        <w:jc w:val="both"/>
        <w:rPr>
          <w:rFonts w:eastAsia="Calibri"/>
          <w:szCs w:val="24"/>
        </w:rPr>
      </w:pPr>
      <w:r w:rsidRPr="00217F2D">
        <w:rPr>
          <w:rFonts w:eastAsia="Calibri"/>
          <w:szCs w:val="24"/>
        </w:rPr>
        <w:tab/>
        <w:t>12.6. teikti informaciją apie NVŠ teikėjų veiklos kokybę ir skleisti mokytojų, mokyklų veiklos gerąją patirtį.</w:t>
      </w:r>
    </w:p>
    <w:p w:rsidR="00045DCE" w:rsidRPr="00217F2D" w:rsidRDefault="00045DCE" w:rsidP="00045DCE">
      <w:pPr>
        <w:tabs>
          <w:tab w:val="left" w:pos="851"/>
        </w:tabs>
        <w:jc w:val="both"/>
        <w:rPr>
          <w:rFonts w:eastAsia="Calibri"/>
          <w:szCs w:val="24"/>
        </w:rPr>
      </w:pPr>
      <w:r w:rsidRPr="00217F2D">
        <w:rPr>
          <w:rFonts w:eastAsia="Calibri"/>
          <w:szCs w:val="24"/>
        </w:rPr>
        <w:tab/>
        <w:t xml:space="preserve">13. NVŠ išorinį vertinimą organizuoja </w:t>
      </w:r>
      <w:r w:rsidR="008D6F1F">
        <w:rPr>
          <w:rFonts w:eastAsia="Calibri"/>
          <w:szCs w:val="24"/>
        </w:rPr>
        <w:t>S</w:t>
      </w:r>
      <w:r w:rsidRPr="00217F2D">
        <w:rPr>
          <w:rFonts w:eastAsia="Calibri"/>
          <w:szCs w:val="24"/>
        </w:rPr>
        <w:t>avivaldybės administracijos Švietimo</w:t>
      </w:r>
      <w:r w:rsidR="00553451">
        <w:rPr>
          <w:rFonts w:eastAsia="Calibri"/>
          <w:szCs w:val="24"/>
        </w:rPr>
        <w:t xml:space="preserve"> </w:t>
      </w:r>
      <w:r w:rsidRPr="00217F2D">
        <w:rPr>
          <w:rFonts w:eastAsia="Calibri"/>
          <w:szCs w:val="24"/>
        </w:rPr>
        <w:t>ir sporto skyrius (toliau – Švietimo ir sporto skyrius), kuris:</w:t>
      </w:r>
    </w:p>
    <w:p w:rsidR="00045DCE" w:rsidRPr="00217F2D" w:rsidRDefault="00045DCE" w:rsidP="00045DCE">
      <w:pPr>
        <w:tabs>
          <w:tab w:val="left" w:pos="851"/>
        </w:tabs>
        <w:jc w:val="both"/>
        <w:rPr>
          <w:rFonts w:eastAsia="Calibri"/>
          <w:szCs w:val="24"/>
        </w:rPr>
      </w:pPr>
      <w:r w:rsidRPr="00217F2D">
        <w:rPr>
          <w:rFonts w:eastAsia="Calibri"/>
          <w:szCs w:val="24"/>
        </w:rPr>
        <w:tab/>
        <w:t xml:space="preserve">13.1. NVŠ teikėjų išorinio vertinimo planą </w:t>
      </w:r>
      <w:r w:rsidRPr="00553451">
        <w:rPr>
          <w:rFonts w:eastAsia="Calibri"/>
          <w:szCs w:val="24"/>
        </w:rPr>
        <w:t xml:space="preserve">ir jį iki </w:t>
      </w:r>
      <w:r w:rsidR="008D6F1F">
        <w:rPr>
          <w:rFonts w:eastAsia="Calibri"/>
          <w:szCs w:val="24"/>
        </w:rPr>
        <w:t xml:space="preserve">einamųjų metų </w:t>
      </w:r>
      <w:r w:rsidRPr="00553451">
        <w:rPr>
          <w:rFonts w:eastAsia="Calibri"/>
          <w:szCs w:val="24"/>
        </w:rPr>
        <w:t>spalio 20 d.</w:t>
      </w:r>
      <w:r w:rsidRPr="00217F2D">
        <w:rPr>
          <w:rFonts w:eastAsia="Calibri"/>
          <w:szCs w:val="24"/>
        </w:rPr>
        <w:t xml:space="preserve"> paskelbia </w:t>
      </w:r>
      <w:r w:rsidR="008D6F1F">
        <w:rPr>
          <w:rFonts w:eastAsia="Calibri"/>
          <w:szCs w:val="24"/>
        </w:rPr>
        <w:t>S</w:t>
      </w:r>
      <w:r w:rsidRPr="00217F2D">
        <w:rPr>
          <w:rFonts w:eastAsia="Calibri"/>
          <w:szCs w:val="24"/>
        </w:rPr>
        <w:t>avivaldybės tinklalapyje;</w:t>
      </w:r>
    </w:p>
    <w:p w:rsidR="00045DCE" w:rsidRPr="00217F2D" w:rsidRDefault="00045DCE" w:rsidP="00045DCE">
      <w:pPr>
        <w:tabs>
          <w:tab w:val="left" w:pos="851"/>
        </w:tabs>
        <w:jc w:val="both"/>
        <w:rPr>
          <w:rFonts w:eastAsia="Calibri"/>
          <w:szCs w:val="24"/>
        </w:rPr>
      </w:pPr>
      <w:r w:rsidRPr="00217F2D">
        <w:rPr>
          <w:rFonts w:eastAsia="Calibri"/>
          <w:szCs w:val="24"/>
        </w:rPr>
        <w:tab/>
        <w:t xml:space="preserve">13.2. informuoja ir konsultuoja NVŠ išorės vertinime dalyvaujančius asmenis; </w:t>
      </w:r>
    </w:p>
    <w:p w:rsidR="00045DCE" w:rsidRPr="00217F2D" w:rsidRDefault="00045DCE" w:rsidP="00045DCE">
      <w:pPr>
        <w:tabs>
          <w:tab w:val="left" w:pos="851"/>
        </w:tabs>
        <w:jc w:val="both"/>
        <w:rPr>
          <w:rFonts w:eastAsia="Calibri"/>
          <w:szCs w:val="24"/>
        </w:rPr>
      </w:pPr>
      <w:r w:rsidRPr="00217F2D">
        <w:rPr>
          <w:rFonts w:eastAsia="Calibri"/>
          <w:szCs w:val="24"/>
        </w:rPr>
        <w:tab/>
        <w:t xml:space="preserve">13.3. </w:t>
      </w:r>
      <w:r w:rsidR="008D6F1F">
        <w:rPr>
          <w:rFonts w:eastAsia="Calibri"/>
          <w:szCs w:val="24"/>
        </w:rPr>
        <w:t>rengia</w:t>
      </w:r>
      <w:r w:rsidR="008D6F1F" w:rsidRPr="00217F2D">
        <w:rPr>
          <w:rFonts w:eastAsia="Calibri"/>
          <w:szCs w:val="24"/>
        </w:rPr>
        <w:t xml:space="preserve"> </w:t>
      </w:r>
      <w:r w:rsidRPr="00217F2D">
        <w:rPr>
          <w:rFonts w:eastAsia="Calibri"/>
          <w:szCs w:val="24"/>
        </w:rPr>
        <w:t>3–5 narių išorės vertinimo grup</w:t>
      </w:r>
      <w:r w:rsidR="008D6F1F">
        <w:rPr>
          <w:rFonts w:eastAsia="Calibri"/>
          <w:szCs w:val="24"/>
        </w:rPr>
        <w:t>ės</w:t>
      </w:r>
      <w:r w:rsidRPr="00217F2D">
        <w:rPr>
          <w:rFonts w:eastAsia="Calibri"/>
          <w:szCs w:val="24"/>
        </w:rPr>
        <w:t xml:space="preserve"> (toliau – Vertinimo grupė)</w:t>
      </w:r>
      <w:r w:rsidR="008D6F1F">
        <w:rPr>
          <w:rFonts w:eastAsia="Calibri"/>
          <w:szCs w:val="24"/>
        </w:rPr>
        <w:t xml:space="preserve"> </w:t>
      </w:r>
      <w:r w:rsidR="00376089">
        <w:rPr>
          <w:rFonts w:eastAsia="Calibri"/>
          <w:szCs w:val="24"/>
        </w:rPr>
        <w:t>sudarymo projektą</w:t>
      </w:r>
      <w:r w:rsidRPr="00217F2D">
        <w:rPr>
          <w:rFonts w:eastAsia="Calibri"/>
          <w:szCs w:val="24"/>
        </w:rPr>
        <w:t xml:space="preserve">, </w:t>
      </w:r>
      <w:r w:rsidR="00376089">
        <w:rPr>
          <w:rFonts w:eastAsia="Calibri"/>
          <w:szCs w:val="24"/>
        </w:rPr>
        <w:t>kurį</w:t>
      </w:r>
      <w:r w:rsidRPr="00217F2D">
        <w:rPr>
          <w:rFonts w:eastAsia="Calibri"/>
          <w:szCs w:val="24"/>
        </w:rPr>
        <w:t xml:space="preserve"> tvirtina Savivaldybės administracijos direktorius. Vertinimo grupėje mažiausiai vienas narys (grupės vadovas) yra išorės vertintojas, įgijęs NVŠ kokybės vertinimo kompetencijų NVŠ vertintojų mokymuose. </w:t>
      </w:r>
    </w:p>
    <w:p w:rsidR="00045DCE" w:rsidRPr="00217F2D" w:rsidRDefault="00045DCE" w:rsidP="00045DCE">
      <w:pPr>
        <w:tabs>
          <w:tab w:val="left" w:pos="851"/>
        </w:tabs>
        <w:jc w:val="both"/>
        <w:rPr>
          <w:rFonts w:eastAsia="Calibri"/>
          <w:szCs w:val="24"/>
        </w:rPr>
      </w:pPr>
      <w:r w:rsidRPr="00217F2D">
        <w:rPr>
          <w:rFonts w:eastAsia="Calibri"/>
          <w:szCs w:val="24"/>
        </w:rPr>
        <w:tab/>
        <w:t>13.4. analizuoja NVŠ teikėjų išorinio vertinimo išvadas, konsultuoja, stebi pažangą;</w:t>
      </w:r>
    </w:p>
    <w:p w:rsidR="00045DCE" w:rsidRPr="00217F2D" w:rsidRDefault="00045DCE" w:rsidP="00045DCE">
      <w:pPr>
        <w:tabs>
          <w:tab w:val="left" w:pos="851"/>
        </w:tabs>
        <w:jc w:val="both"/>
        <w:rPr>
          <w:rFonts w:eastAsia="Calibri"/>
          <w:szCs w:val="24"/>
        </w:rPr>
      </w:pPr>
      <w:r w:rsidRPr="00217F2D">
        <w:rPr>
          <w:rFonts w:eastAsia="Calibri"/>
          <w:szCs w:val="24"/>
        </w:rPr>
        <w:tab/>
        <w:t>13.5. koordinuoja veiklos tobulinimo planų įgyvendinimą, inicijuoja gerosios patirties sklaidą;</w:t>
      </w:r>
    </w:p>
    <w:p w:rsidR="00045DCE" w:rsidRPr="00217F2D" w:rsidRDefault="00045DCE" w:rsidP="00045DCE">
      <w:pPr>
        <w:tabs>
          <w:tab w:val="left" w:pos="851"/>
        </w:tabs>
        <w:jc w:val="both"/>
        <w:rPr>
          <w:rFonts w:eastAsia="Calibri"/>
          <w:szCs w:val="24"/>
        </w:rPr>
      </w:pPr>
      <w:r w:rsidRPr="00217F2D">
        <w:rPr>
          <w:rFonts w:eastAsia="Calibri"/>
          <w:szCs w:val="24"/>
        </w:rPr>
        <w:tab/>
        <w:t>13.6. organizuoja pakartotinį išorinį vertinimą po vienerių metų, jeigu išorinio vertinimo metu bent viena veiklos sritis, tema buvo įvertinta žemu lygiu. Vertinant pakartotinai, gali būti atliekamas vienos ar kelių sričių išorinis vertinimas ar vertinama pagal tikslingai pasirinktus rodiklius;</w:t>
      </w:r>
    </w:p>
    <w:p w:rsidR="00045DCE" w:rsidRPr="00217F2D" w:rsidRDefault="00045DCE" w:rsidP="00045DCE">
      <w:pPr>
        <w:tabs>
          <w:tab w:val="left" w:pos="851"/>
        </w:tabs>
        <w:jc w:val="both"/>
        <w:rPr>
          <w:rFonts w:eastAsia="Calibri"/>
          <w:szCs w:val="24"/>
        </w:rPr>
      </w:pPr>
      <w:r w:rsidRPr="00217F2D">
        <w:rPr>
          <w:rFonts w:eastAsia="Calibri"/>
          <w:szCs w:val="24"/>
        </w:rPr>
        <w:tab/>
        <w:t>14. NVŠ išorinio vertinimo grupės vizito trukmė – 1-2 dienos.</w:t>
      </w:r>
    </w:p>
    <w:p w:rsidR="00045DCE" w:rsidRPr="00217F2D" w:rsidRDefault="00045DCE" w:rsidP="00045DCE">
      <w:pPr>
        <w:tabs>
          <w:tab w:val="left" w:pos="851"/>
        </w:tabs>
        <w:jc w:val="both"/>
        <w:rPr>
          <w:rFonts w:eastAsia="Calibri"/>
          <w:szCs w:val="24"/>
        </w:rPr>
      </w:pPr>
      <w:r w:rsidRPr="00217F2D">
        <w:rPr>
          <w:rFonts w:eastAsia="Calibri"/>
          <w:szCs w:val="24"/>
        </w:rPr>
        <w:tab/>
        <w:t>15</w:t>
      </w:r>
      <w:r w:rsidRPr="00DA585E">
        <w:rPr>
          <w:rFonts w:eastAsia="Calibri"/>
          <w:szCs w:val="24"/>
        </w:rPr>
        <w:t xml:space="preserve">. </w:t>
      </w:r>
      <w:r w:rsidR="00376089">
        <w:rPr>
          <w:rFonts w:eastAsia="Calibri"/>
          <w:szCs w:val="24"/>
        </w:rPr>
        <w:t>S</w:t>
      </w:r>
      <w:r w:rsidRPr="00217F2D">
        <w:rPr>
          <w:rFonts w:eastAsia="Calibri"/>
          <w:szCs w:val="24"/>
        </w:rPr>
        <w:t>avivaldybės administracijos direktorius įsakymu paskiria asmenį, kuris atlieka išorinio vertinimo koordinatoriaus funkciją.</w:t>
      </w:r>
    </w:p>
    <w:p w:rsidR="00045DCE" w:rsidRPr="00217F2D" w:rsidRDefault="00045DCE" w:rsidP="00045DCE">
      <w:pPr>
        <w:tabs>
          <w:tab w:val="left" w:pos="851"/>
        </w:tabs>
        <w:jc w:val="both"/>
        <w:rPr>
          <w:rFonts w:eastAsia="Calibri"/>
          <w:szCs w:val="24"/>
        </w:rPr>
      </w:pPr>
      <w:r w:rsidRPr="00217F2D">
        <w:rPr>
          <w:rFonts w:eastAsia="Calibri"/>
          <w:szCs w:val="24"/>
        </w:rPr>
        <w:tab/>
        <w:t xml:space="preserve">16. </w:t>
      </w:r>
      <w:r w:rsidR="00376089">
        <w:rPr>
          <w:rFonts w:eastAsia="Calibri"/>
          <w:szCs w:val="24"/>
        </w:rPr>
        <w:t>I</w:t>
      </w:r>
      <w:r w:rsidR="00376089" w:rsidRPr="00217F2D">
        <w:rPr>
          <w:rFonts w:eastAsia="Calibri"/>
          <w:szCs w:val="24"/>
        </w:rPr>
        <w:t>šorinio vertinimo koordinatorius</w:t>
      </w:r>
      <w:r w:rsidRPr="00217F2D">
        <w:rPr>
          <w:rFonts w:eastAsia="Calibri"/>
          <w:szCs w:val="24"/>
        </w:rPr>
        <w:t>:</w:t>
      </w:r>
    </w:p>
    <w:p w:rsidR="00045DCE" w:rsidRPr="00217F2D" w:rsidRDefault="00045DCE" w:rsidP="00045DCE">
      <w:pPr>
        <w:tabs>
          <w:tab w:val="left" w:pos="851"/>
        </w:tabs>
        <w:jc w:val="both"/>
        <w:rPr>
          <w:rFonts w:eastAsia="Calibri"/>
          <w:szCs w:val="24"/>
        </w:rPr>
      </w:pPr>
      <w:r w:rsidRPr="00217F2D">
        <w:rPr>
          <w:rFonts w:eastAsia="Calibri"/>
          <w:szCs w:val="24"/>
        </w:rPr>
        <w:tab/>
        <w:t>16.1. yra vertinimo grupės narys</w:t>
      </w:r>
      <w:r w:rsidR="00376089">
        <w:rPr>
          <w:rFonts w:eastAsia="Calibri"/>
          <w:szCs w:val="24"/>
        </w:rPr>
        <w:t xml:space="preserve">, </w:t>
      </w:r>
      <w:r w:rsidR="00376089">
        <w:rPr>
          <w:color w:val="000000"/>
        </w:rPr>
        <w:t>t. y. atli</w:t>
      </w:r>
      <w:r w:rsidR="0083067D">
        <w:rPr>
          <w:color w:val="000000"/>
        </w:rPr>
        <w:t>e</w:t>
      </w:r>
      <w:r w:rsidR="00376089">
        <w:rPr>
          <w:color w:val="000000"/>
        </w:rPr>
        <w:t>ka tiek išorės vertinimo koordinatoriaus, tiek Vertinimo grupės nario funkcijas;</w:t>
      </w:r>
    </w:p>
    <w:p w:rsidR="00045DCE" w:rsidRPr="00217F2D" w:rsidRDefault="00045DCE" w:rsidP="00045DCE">
      <w:pPr>
        <w:tabs>
          <w:tab w:val="left" w:pos="851"/>
        </w:tabs>
        <w:jc w:val="both"/>
        <w:rPr>
          <w:rFonts w:eastAsia="Calibri"/>
          <w:szCs w:val="24"/>
        </w:rPr>
      </w:pPr>
      <w:r w:rsidRPr="00217F2D">
        <w:rPr>
          <w:rFonts w:eastAsia="Calibri"/>
          <w:szCs w:val="24"/>
        </w:rPr>
        <w:tab/>
        <w:t>16.2. ne vėliau kaip prieš 10 darbo dienų iki išorinio vertinimo pradžios Vertinimo grupės vadovui elektroniniu paštu išsiunčia NVŠ tiekėjo parengtą įsivertinimo medžiagą;</w:t>
      </w:r>
    </w:p>
    <w:p w:rsidR="00045DCE" w:rsidRPr="00217F2D" w:rsidRDefault="00045DCE" w:rsidP="00045DCE">
      <w:pPr>
        <w:tabs>
          <w:tab w:val="left" w:pos="851"/>
        </w:tabs>
        <w:jc w:val="both"/>
        <w:rPr>
          <w:rFonts w:eastAsia="Calibri"/>
          <w:szCs w:val="24"/>
        </w:rPr>
      </w:pPr>
      <w:r w:rsidRPr="00217F2D">
        <w:rPr>
          <w:rFonts w:eastAsia="Calibri"/>
          <w:szCs w:val="24"/>
        </w:rPr>
        <w:tab/>
        <w:t>16.3. derina vertinimo vizito laiką, darbo sąlygas;</w:t>
      </w:r>
    </w:p>
    <w:p w:rsidR="00045DCE" w:rsidRPr="00217F2D" w:rsidRDefault="00045DCE" w:rsidP="00045DCE">
      <w:pPr>
        <w:tabs>
          <w:tab w:val="left" w:pos="851"/>
        </w:tabs>
        <w:jc w:val="both"/>
        <w:rPr>
          <w:rFonts w:eastAsia="Calibri"/>
          <w:szCs w:val="24"/>
        </w:rPr>
      </w:pPr>
      <w:r w:rsidRPr="00217F2D">
        <w:rPr>
          <w:rFonts w:eastAsia="Calibri"/>
          <w:szCs w:val="24"/>
        </w:rPr>
        <w:tab/>
        <w:t>16.4. padeda organizuoti susitikimus su atrinktomis grupėmis;</w:t>
      </w:r>
    </w:p>
    <w:p w:rsidR="00045DCE" w:rsidRPr="00217F2D" w:rsidRDefault="00045DCE" w:rsidP="00045DCE">
      <w:pPr>
        <w:tabs>
          <w:tab w:val="left" w:pos="851"/>
        </w:tabs>
        <w:jc w:val="both"/>
        <w:rPr>
          <w:rFonts w:eastAsia="Calibri"/>
          <w:szCs w:val="24"/>
        </w:rPr>
      </w:pPr>
      <w:r w:rsidRPr="00217F2D">
        <w:rPr>
          <w:rFonts w:eastAsia="Calibri"/>
          <w:szCs w:val="24"/>
        </w:rPr>
        <w:tab/>
        <w:t>16.5. analizuoja NVŠ teikėjų išorinio vertinimo išvadas, teikia konsultacijas veiklos tobulinimo planų parengimo klausimais, stebi jo įgyvendinimą.</w:t>
      </w:r>
    </w:p>
    <w:p w:rsidR="00045DCE" w:rsidRPr="00217F2D" w:rsidRDefault="00045DCE" w:rsidP="00045DCE">
      <w:pPr>
        <w:tabs>
          <w:tab w:val="left" w:pos="851"/>
        </w:tabs>
        <w:jc w:val="both"/>
        <w:rPr>
          <w:rFonts w:eastAsia="Calibri"/>
          <w:szCs w:val="24"/>
        </w:rPr>
      </w:pPr>
      <w:r w:rsidRPr="00217F2D">
        <w:rPr>
          <w:rFonts w:eastAsia="Calibri"/>
          <w:szCs w:val="24"/>
        </w:rPr>
        <w:tab/>
        <w:t>17. Išorinį NVŠ teikėjų vertinimą vykdo išorinio vertintojų grupė:</w:t>
      </w:r>
    </w:p>
    <w:p w:rsidR="00045DCE" w:rsidRPr="00217F2D" w:rsidRDefault="00045DCE" w:rsidP="00045DCE">
      <w:pPr>
        <w:tabs>
          <w:tab w:val="left" w:pos="851"/>
        </w:tabs>
        <w:jc w:val="both"/>
        <w:rPr>
          <w:rFonts w:eastAsia="Calibri"/>
          <w:szCs w:val="24"/>
        </w:rPr>
      </w:pPr>
      <w:r w:rsidRPr="00217F2D">
        <w:rPr>
          <w:rFonts w:eastAsia="Calibri"/>
          <w:szCs w:val="24"/>
        </w:rPr>
        <w:tab/>
        <w:t>17.1. grupės vadovas:</w:t>
      </w:r>
    </w:p>
    <w:p w:rsidR="00045DCE" w:rsidRPr="00217F2D" w:rsidRDefault="00045DCE" w:rsidP="00045DCE">
      <w:pPr>
        <w:tabs>
          <w:tab w:val="left" w:pos="851"/>
        </w:tabs>
        <w:jc w:val="both"/>
        <w:rPr>
          <w:rFonts w:eastAsia="Calibri"/>
          <w:szCs w:val="24"/>
        </w:rPr>
      </w:pPr>
      <w:r w:rsidRPr="00217F2D">
        <w:rPr>
          <w:rFonts w:eastAsia="Calibri"/>
          <w:szCs w:val="24"/>
        </w:rPr>
        <w:tab/>
        <w:t>17.1.1. ne vėliau kaip prieš 8</w:t>
      </w:r>
      <w:r w:rsidR="00376089" w:rsidRPr="00376089">
        <w:rPr>
          <w:rFonts w:eastAsia="Calibri"/>
          <w:szCs w:val="24"/>
        </w:rPr>
        <w:t xml:space="preserve"> </w:t>
      </w:r>
      <w:r w:rsidR="00376089" w:rsidRPr="00217F2D">
        <w:rPr>
          <w:rFonts w:eastAsia="Calibri"/>
          <w:szCs w:val="24"/>
        </w:rPr>
        <w:t>darbo</w:t>
      </w:r>
      <w:r w:rsidR="00376089">
        <w:rPr>
          <w:rFonts w:eastAsia="Calibri"/>
          <w:szCs w:val="24"/>
        </w:rPr>
        <w:t xml:space="preserve"> </w:t>
      </w:r>
      <w:r w:rsidRPr="00217F2D">
        <w:rPr>
          <w:rFonts w:eastAsia="Calibri"/>
          <w:szCs w:val="24"/>
        </w:rPr>
        <w:t xml:space="preserve">dienas iki išorinio vertinimo pradžios </w:t>
      </w:r>
      <w:r w:rsidRPr="003D6972">
        <w:rPr>
          <w:rFonts w:eastAsia="Calibri"/>
          <w:szCs w:val="24"/>
        </w:rPr>
        <w:t>vertinimo grupės nariams elektroniniu paštu išsiunčia vertinamo NVŠ teikėjo parengtą įsivertinimo medžiagą;</w:t>
      </w:r>
      <w:r w:rsidRPr="00217F2D">
        <w:rPr>
          <w:rFonts w:eastAsia="Calibri"/>
          <w:szCs w:val="24"/>
        </w:rPr>
        <w:t xml:space="preserve"> </w:t>
      </w:r>
    </w:p>
    <w:p w:rsidR="00045DCE" w:rsidRPr="00217F2D" w:rsidRDefault="00045DCE" w:rsidP="00045DCE">
      <w:pPr>
        <w:tabs>
          <w:tab w:val="left" w:pos="851"/>
        </w:tabs>
        <w:jc w:val="both"/>
        <w:rPr>
          <w:rFonts w:eastAsia="Calibri"/>
          <w:szCs w:val="24"/>
        </w:rPr>
      </w:pPr>
      <w:r w:rsidRPr="00217F2D">
        <w:rPr>
          <w:rFonts w:eastAsia="Calibri"/>
          <w:szCs w:val="24"/>
        </w:rPr>
        <w:tab/>
        <w:t>17.1.</w:t>
      </w:r>
      <w:r w:rsidR="0083067D">
        <w:rPr>
          <w:rFonts w:eastAsia="Calibri"/>
          <w:szCs w:val="24"/>
        </w:rPr>
        <w:t>2</w:t>
      </w:r>
      <w:r w:rsidRPr="00217F2D">
        <w:rPr>
          <w:rFonts w:eastAsia="Calibri"/>
          <w:szCs w:val="24"/>
        </w:rPr>
        <w:t>. organizuoja ir koordinuoja vertintojų komandos darbą;</w:t>
      </w:r>
    </w:p>
    <w:p w:rsidR="00045DCE" w:rsidRPr="00217F2D" w:rsidRDefault="00045DCE" w:rsidP="00045DCE">
      <w:pPr>
        <w:tabs>
          <w:tab w:val="left" w:pos="851"/>
        </w:tabs>
        <w:jc w:val="both"/>
        <w:rPr>
          <w:rFonts w:eastAsia="Calibri"/>
          <w:szCs w:val="24"/>
          <w:highlight w:val="yellow"/>
        </w:rPr>
      </w:pPr>
      <w:r w:rsidRPr="00217F2D">
        <w:rPr>
          <w:rFonts w:eastAsia="Calibri"/>
          <w:szCs w:val="24"/>
        </w:rPr>
        <w:tab/>
        <w:t>17.1.</w:t>
      </w:r>
      <w:r w:rsidR="0083067D">
        <w:rPr>
          <w:rFonts w:eastAsia="Calibri"/>
          <w:szCs w:val="24"/>
        </w:rPr>
        <w:t>3</w:t>
      </w:r>
      <w:r w:rsidRPr="00217F2D">
        <w:rPr>
          <w:rFonts w:eastAsia="Calibri"/>
          <w:szCs w:val="24"/>
        </w:rPr>
        <w:t xml:space="preserve">. atsako </w:t>
      </w:r>
      <w:r w:rsidR="0083067D">
        <w:rPr>
          <w:rFonts w:eastAsia="Calibri"/>
          <w:szCs w:val="24"/>
        </w:rPr>
        <w:t xml:space="preserve">už </w:t>
      </w:r>
      <w:r w:rsidRPr="00217F2D">
        <w:rPr>
          <w:rFonts w:eastAsia="Calibri"/>
          <w:szCs w:val="24"/>
        </w:rPr>
        <w:t>išorinio vertimo rezultatų ir išvadų pateikimą;</w:t>
      </w:r>
      <w:r w:rsidRPr="00217F2D">
        <w:rPr>
          <w:rFonts w:eastAsia="Calibri"/>
          <w:szCs w:val="24"/>
          <w:highlight w:val="yellow"/>
        </w:rPr>
        <w:t xml:space="preserve"> </w:t>
      </w:r>
    </w:p>
    <w:p w:rsidR="00045DCE" w:rsidRPr="00217F2D" w:rsidRDefault="00045DCE" w:rsidP="00045DCE">
      <w:pPr>
        <w:tabs>
          <w:tab w:val="left" w:pos="851"/>
        </w:tabs>
        <w:jc w:val="both"/>
        <w:rPr>
          <w:rFonts w:eastAsia="Calibri"/>
          <w:szCs w:val="24"/>
        </w:rPr>
      </w:pPr>
      <w:r w:rsidRPr="00217F2D">
        <w:rPr>
          <w:rFonts w:eastAsia="Calibri"/>
          <w:szCs w:val="24"/>
        </w:rPr>
        <w:tab/>
        <w:t>17.1.</w:t>
      </w:r>
      <w:r w:rsidR="0083067D">
        <w:rPr>
          <w:rFonts w:eastAsia="Calibri"/>
          <w:szCs w:val="24"/>
        </w:rPr>
        <w:t>4</w:t>
      </w:r>
      <w:r w:rsidRPr="00217F2D">
        <w:rPr>
          <w:rFonts w:eastAsia="Calibri"/>
          <w:szCs w:val="24"/>
        </w:rPr>
        <w:t xml:space="preserve">. NVŠ teikėjų kokybės vertinimo išvadas, parengtas pagal </w:t>
      </w:r>
      <w:r w:rsidR="00376089">
        <w:rPr>
          <w:rFonts w:eastAsia="Calibri"/>
          <w:szCs w:val="24"/>
        </w:rPr>
        <w:t>Metodikos</w:t>
      </w:r>
      <w:r w:rsidRPr="00217F2D">
        <w:rPr>
          <w:rFonts w:eastAsia="Calibri"/>
          <w:szCs w:val="24"/>
        </w:rPr>
        <w:t xml:space="preserve"> 4 priedą, ne vėliau kaip per 10 darbo dienų nuo paskutinės vertinimo dienos pateikia vertinamajam NVŠ teikėjui, Švietimo ir sporto skyriui;</w:t>
      </w:r>
    </w:p>
    <w:p w:rsidR="00045DCE" w:rsidRPr="00217F2D" w:rsidRDefault="00045DCE" w:rsidP="00045DCE">
      <w:pPr>
        <w:tabs>
          <w:tab w:val="left" w:pos="851"/>
        </w:tabs>
        <w:jc w:val="both"/>
        <w:rPr>
          <w:rFonts w:eastAsia="Calibri"/>
          <w:szCs w:val="24"/>
        </w:rPr>
      </w:pPr>
      <w:r w:rsidRPr="00217F2D">
        <w:rPr>
          <w:rFonts w:eastAsia="Calibri"/>
          <w:szCs w:val="24"/>
        </w:rPr>
        <w:tab/>
        <w:t>17.1.</w:t>
      </w:r>
      <w:r w:rsidR="00DA205D">
        <w:rPr>
          <w:rFonts w:eastAsia="Calibri"/>
          <w:szCs w:val="24"/>
        </w:rPr>
        <w:t>5</w:t>
      </w:r>
      <w:r w:rsidRPr="00217F2D">
        <w:rPr>
          <w:rFonts w:eastAsia="Calibri"/>
          <w:szCs w:val="24"/>
        </w:rPr>
        <w:t>. su vertinimo rezultatų projektu supažindina NVŠ teikėją. Paskutinę vertinimo dieną NVŠ teikėjui ir vertinamo NVŠ teikėjo bendruomenei pristato vertinimo grupės pirmines išvadas – ne mažiau kaip 5 NVŠ teikėjo stipriuosius ir ne daugiau kaip 3 tobulintinus veiklos aspektus;</w:t>
      </w:r>
    </w:p>
    <w:p w:rsidR="00045DCE" w:rsidRPr="00217F2D" w:rsidRDefault="00045DCE" w:rsidP="00045DCE">
      <w:pPr>
        <w:tabs>
          <w:tab w:val="left" w:pos="851"/>
        </w:tabs>
        <w:jc w:val="both"/>
        <w:rPr>
          <w:rFonts w:eastAsia="Calibri"/>
          <w:szCs w:val="24"/>
        </w:rPr>
      </w:pPr>
      <w:r w:rsidRPr="00217F2D">
        <w:rPr>
          <w:rFonts w:eastAsia="Calibri"/>
          <w:szCs w:val="24"/>
        </w:rPr>
        <w:tab/>
        <w:t>17.2. vertinimo grupės nariai:</w:t>
      </w:r>
    </w:p>
    <w:p w:rsidR="00045DCE" w:rsidRPr="00217F2D" w:rsidRDefault="00045DCE" w:rsidP="00045DCE">
      <w:pPr>
        <w:tabs>
          <w:tab w:val="left" w:pos="851"/>
        </w:tabs>
        <w:jc w:val="both"/>
        <w:rPr>
          <w:rFonts w:eastAsia="Calibri"/>
          <w:szCs w:val="24"/>
        </w:rPr>
      </w:pPr>
      <w:r w:rsidRPr="00217F2D">
        <w:rPr>
          <w:rFonts w:eastAsia="Calibri"/>
          <w:szCs w:val="24"/>
        </w:rPr>
        <w:tab/>
        <w:t>17.2.1. vadovaujasi NVŠ kokybės išorės vertintojų etikos principais</w:t>
      </w:r>
      <w:r w:rsidR="00432E5D">
        <w:rPr>
          <w:rFonts w:eastAsia="Calibri"/>
          <w:szCs w:val="24"/>
        </w:rPr>
        <w:t xml:space="preserve"> (</w:t>
      </w:r>
      <w:r w:rsidRPr="00217F2D">
        <w:rPr>
          <w:rFonts w:eastAsia="Calibri"/>
          <w:szCs w:val="24"/>
        </w:rPr>
        <w:t xml:space="preserve"> </w:t>
      </w:r>
      <w:r w:rsidR="00432E5D">
        <w:rPr>
          <w:rFonts w:eastAsia="Calibri"/>
          <w:szCs w:val="24"/>
        </w:rPr>
        <w:t xml:space="preserve">Metodikos </w:t>
      </w:r>
      <w:r w:rsidRPr="00217F2D">
        <w:rPr>
          <w:rFonts w:eastAsia="Calibri"/>
          <w:szCs w:val="24"/>
        </w:rPr>
        <w:t>3 pried</w:t>
      </w:r>
      <w:r w:rsidR="00432E5D">
        <w:rPr>
          <w:rFonts w:eastAsia="Calibri"/>
          <w:szCs w:val="24"/>
        </w:rPr>
        <w:t>as)</w:t>
      </w:r>
      <w:r w:rsidRPr="00217F2D">
        <w:rPr>
          <w:rFonts w:eastAsia="Calibri"/>
          <w:szCs w:val="24"/>
        </w:rPr>
        <w:t xml:space="preserve">; </w:t>
      </w:r>
    </w:p>
    <w:p w:rsidR="00045DCE" w:rsidRPr="00217F2D" w:rsidRDefault="00045DCE" w:rsidP="00045DCE">
      <w:pPr>
        <w:tabs>
          <w:tab w:val="left" w:pos="851"/>
        </w:tabs>
        <w:jc w:val="both"/>
        <w:rPr>
          <w:rFonts w:eastAsia="Calibri"/>
          <w:szCs w:val="24"/>
        </w:rPr>
      </w:pPr>
      <w:r w:rsidRPr="00217F2D">
        <w:rPr>
          <w:rFonts w:eastAsia="Calibri"/>
          <w:szCs w:val="24"/>
        </w:rPr>
        <w:tab/>
        <w:t>17.2.2. analizuoja NVŠ teikėjo parengtus įsivertinimo dokumentus bei</w:t>
      </w:r>
      <w:r w:rsidR="00432E5D">
        <w:rPr>
          <w:rFonts w:eastAsia="Calibri"/>
          <w:szCs w:val="24"/>
        </w:rPr>
        <w:t xml:space="preserve"> kitą</w:t>
      </w:r>
      <w:r w:rsidRPr="00217F2D">
        <w:rPr>
          <w:rFonts w:eastAsia="Calibri"/>
          <w:szCs w:val="24"/>
        </w:rPr>
        <w:t xml:space="preserve"> su vertinimu susijusią informaciją; </w:t>
      </w:r>
    </w:p>
    <w:p w:rsidR="00045DCE" w:rsidRPr="00217F2D" w:rsidRDefault="00045DCE" w:rsidP="00045DCE">
      <w:pPr>
        <w:tabs>
          <w:tab w:val="left" w:pos="851"/>
        </w:tabs>
        <w:jc w:val="both"/>
        <w:rPr>
          <w:rFonts w:eastAsia="Calibri"/>
          <w:szCs w:val="24"/>
        </w:rPr>
      </w:pPr>
      <w:r w:rsidRPr="00217F2D">
        <w:rPr>
          <w:rFonts w:eastAsia="Calibri"/>
          <w:szCs w:val="24"/>
        </w:rPr>
        <w:tab/>
        <w:t>17.2.</w:t>
      </w:r>
      <w:r w:rsidR="0083067D">
        <w:rPr>
          <w:rFonts w:eastAsia="Calibri"/>
          <w:szCs w:val="24"/>
        </w:rPr>
        <w:t>3</w:t>
      </w:r>
      <w:r w:rsidRPr="00217F2D">
        <w:rPr>
          <w:rFonts w:eastAsia="Calibri"/>
          <w:szCs w:val="24"/>
        </w:rPr>
        <w:t xml:space="preserve">. vertinimo metu dalyvauja pokalbiuose su vaikais, tėvais (globėjais, rūpintojais), mokytojais, vadovais, renka duomenis pagal </w:t>
      </w:r>
      <w:r w:rsidR="00432E5D">
        <w:rPr>
          <w:rFonts w:eastAsia="Calibri"/>
          <w:szCs w:val="24"/>
        </w:rPr>
        <w:t>Metodikos</w:t>
      </w:r>
      <w:r w:rsidRPr="00217F2D">
        <w:rPr>
          <w:rFonts w:eastAsia="Calibri"/>
          <w:szCs w:val="24"/>
        </w:rPr>
        <w:t xml:space="preserve"> 2 priede nurodytus veiklos rodiklius;</w:t>
      </w:r>
    </w:p>
    <w:p w:rsidR="00045DCE" w:rsidRPr="00217F2D" w:rsidRDefault="00045DCE" w:rsidP="00045DCE">
      <w:pPr>
        <w:tabs>
          <w:tab w:val="left" w:pos="851"/>
        </w:tabs>
        <w:jc w:val="both"/>
        <w:rPr>
          <w:rFonts w:eastAsia="Calibri"/>
          <w:szCs w:val="24"/>
        </w:rPr>
      </w:pPr>
      <w:r w:rsidRPr="00217F2D">
        <w:rPr>
          <w:rFonts w:eastAsia="Calibri"/>
          <w:szCs w:val="24"/>
        </w:rPr>
        <w:tab/>
        <w:t>17.2.</w:t>
      </w:r>
      <w:r w:rsidR="0083067D">
        <w:rPr>
          <w:rFonts w:eastAsia="Calibri"/>
          <w:szCs w:val="24"/>
        </w:rPr>
        <w:t>4</w:t>
      </w:r>
      <w:r w:rsidRPr="00217F2D">
        <w:rPr>
          <w:rFonts w:eastAsia="Calibri"/>
          <w:szCs w:val="24"/>
        </w:rPr>
        <w:t>. vertina grupės vadovo paskirtas sritis;</w:t>
      </w:r>
    </w:p>
    <w:p w:rsidR="00045DCE" w:rsidRPr="00217F2D" w:rsidRDefault="00045DCE" w:rsidP="00045DCE">
      <w:pPr>
        <w:tabs>
          <w:tab w:val="left" w:pos="851"/>
        </w:tabs>
        <w:jc w:val="both"/>
        <w:rPr>
          <w:rFonts w:eastAsia="Calibri"/>
          <w:szCs w:val="24"/>
        </w:rPr>
      </w:pPr>
      <w:r w:rsidRPr="00217F2D">
        <w:rPr>
          <w:rFonts w:eastAsia="Calibri"/>
          <w:szCs w:val="24"/>
        </w:rPr>
        <w:tab/>
        <w:t>17.2.</w:t>
      </w:r>
      <w:r w:rsidR="0083067D">
        <w:rPr>
          <w:rFonts w:eastAsia="Calibri"/>
          <w:szCs w:val="24"/>
        </w:rPr>
        <w:t>5</w:t>
      </w:r>
      <w:r w:rsidRPr="00217F2D">
        <w:rPr>
          <w:rFonts w:eastAsia="Calibri"/>
          <w:szCs w:val="24"/>
        </w:rPr>
        <w:t>. veiklą įvertina pagal 3 lygių skalę;</w:t>
      </w:r>
    </w:p>
    <w:p w:rsidR="00045DCE" w:rsidRPr="00217F2D" w:rsidRDefault="00045DCE" w:rsidP="00045DCE">
      <w:pPr>
        <w:tabs>
          <w:tab w:val="left" w:pos="851"/>
        </w:tabs>
        <w:jc w:val="both"/>
        <w:rPr>
          <w:rFonts w:eastAsia="Calibri"/>
          <w:szCs w:val="24"/>
        </w:rPr>
      </w:pPr>
      <w:r w:rsidRPr="00217F2D">
        <w:rPr>
          <w:rFonts w:eastAsia="Calibri"/>
          <w:szCs w:val="24"/>
        </w:rPr>
        <w:tab/>
        <w:t>17.2.</w:t>
      </w:r>
      <w:r w:rsidR="0083067D">
        <w:rPr>
          <w:rFonts w:eastAsia="Calibri"/>
          <w:szCs w:val="24"/>
        </w:rPr>
        <w:t>6</w:t>
      </w:r>
      <w:r w:rsidRPr="00217F2D">
        <w:rPr>
          <w:rFonts w:eastAsia="Calibri"/>
          <w:szCs w:val="24"/>
        </w:rPr>
        <w:t xml:space="preserve">. išorinio vertinimo rezultatus fiksuoja </w:t>
      </w:r>
      <w:r w:rsidR="00432E5D">
        <w:rPr>
          <w:rFonts w:eastAsia="Calibri"/>
          <w:szCs w:val="24"/>
        </w:rPr>
        <w:t>pagal nusta</w:t>
      </w:r>
      <w:r w:rsidR="0083067D">
        <w:rPr>
          <w:rFonts w:eastAsia="Calibri"/>
          <w:szCs w:val="24"/>
        </w:rPr>
        <w:t>t</w:t>
      </w:r>
      <w:r w:rsidR="00432E5D">
        <w:rPr>
          <w:rFonts w:eastAsia="Calibri"/>
          <w:szCs w:val="24"/>
        </w:rPr>
        <w:t>ytą formą (Metodikos</w:t>
      </w:r>
      <w:r w:rsidRPr="00217F2D">
        <w:rPr>
          <w:rFonts w:eastAsia="Calibri"/>
          <w:szCs w:val="24"/>
        </w:rPr>
        <w:t xml:space="preserve"> 2 pried</w:t>
      </w:r>
      <w:r w:rsidR="00432E5D">
        <w:rPr>
          <w:rFonts w:eastAsia="Calibri"/>
          <w:szCs w:val="24"/>
        </w:rPr>
        <w:t>as)</w:t>
      </w:r>
      <w:r w:rsidRPr="00217F2D">
        <w:rPr>
          <w:rFonts w:eastAsia="Calibri"/>
          <w:szCs w:val="24"/>
        </w:rPr>
        <w:t>;</w:t>
      </w:r>
    </w:p>
    <w:p w:rsidR="00045DCE" w:rsidRPr="00217F2D" w:rsidRDefault="00045DCE" w:rsidP="00045DCE">
      <w:pPr>
        <w:tabs>
          <w:tab w:val="left" w:pos="851"/>
        </w:tabs>
        <w:jc w:val="both"/>
        <w:rPr>
          <w:rFonts w:eastAsia="Calibri"/>
          <w:szCs w:val="24"/>
        </w:rPr>
      </w:pPr>
      <w:r w:rsidRPr="00217F2D">
        <w:rPr>
          <w:rFonts w:eastAsia="Calibri"/>
          <w:szCs w:val="24"/>
        </w:rPr>
        <w:tab/>
        <w:t>17.2.</w:t>
      </w:r>
      <w:r w:rsidR="0083067D">
        <w:rPr>
          <w:rFonts w:eastAsia="Calibri"/>
          <w:szCs w:val="24"/>
        </w:rPr>
        <w:t>7</w:t>
      </w:r>
      <w:r w:rsidRPr="00217F2D">
        <w:rPr>
          <w:rFonts w:eastAsia="Calibri"/>
          <w:szCs w:val="24"/>
        </w:rPr>
        <w:t>. prireikus, stebi ugdymo procesą, stebėjimo metu surinktus duomenis fiksuoja protokole, nurodydami stebėjimo laiką ir rezultatus (išvadas). Sprendimą dėl ugdymo proceso stebėjimo priima vertinimo grupė. Ugdymo procesas stebimas tuo atveju, jei vertinimo grupės išvados nesutampa su įstaigos NVŠ veiklos įsivertinimo išvadomis;</w:t>
      </w:r>
    </w:p>
    <w:p w:rsidR="00045DCE" w:rsidRPr="00217F2D" w:rsidRDefault="00045DCE" w:rsidP="00045DCE">
      <w:pPr>
        <w:tabs>
          <w:tab w:val="left" w:pos="851"/>
          <w:tab w:val="left" w:pos="1134"/>
        </w:tabs>
        <w:jc w:val="both"/>
        <w:rPr>
          <w:rFonts w:eastAsia="Calibri"/>
          <w:szCs w:val="24"/>
        </w:rPr>
      </w:pPr>
      <w:r w:rsidRPr="00217F2D">
        <w:rPr>
          <w:rFonts w:eastAsia="Calibri"/>
          <w:szCs w:val="24"/>
        </w:rPr>
        <w:tab/>
        <w:t>17.2.</w:t>
      </w:r>
      <w:r w:rsidR="0083067D">
        <w:rPr>
          <w:rFonts w:eastAsia="Calibri"/>
          <w:szCs w:val="24"/>
        </w:rPr>
        <w:t>8</w:t>
      </w:r>
      <w:r w:rsidRPr="00217F2D">
        <w:rPr>
          <w:rFonts w:eastAsia="Calibri"/>
          <w:szCs w:val="24"/>
        </w:rPr>
        <w:t>. susitaria dėl vertinimo išvadų: ne mažiau kaip 5 stipriųjų ir ne daugiau kaip 3 tobulintinų veiklos aspektų;</w:t>
      </w:r>
    </w:p>
    <w:p w:rsidR="00045DCE" w:rsidRPr="00217F2D" w:rsidRDefault="00045DCE" w:rsidP="00045DCE">
      <w:pPr>
        <w:tabs>
          <w:tab w:val="left" w:pos="851"/>
          <w:tab w:val="left" w:pos="1134"/>
        </w:tabs>
        <w:jc w:val="both"/>
        <w:rPr>
          <w:rFonts w:eastAsia="Calibri"/>
          <w:szCs w:val="24"/>
        </w:rPr>
      </w:pPr>
      <w:r w:rsidRPr="00217F2D">
        <w:rPr>
          <w:rFonts w:eastAsia="Calibri"/>
          <w:szCs w:val="24"/>
        </w:rPr>
        <w:tab/>
        <w:t>17.2.</w:t>
      </w:r>
      <w:r w:rsidR="0083067D">
        <w:rPr>
          <w:rFonts w:eastAsia="Calibri"/>
          <w:szCs w:val="24"/>
        </w:rPr>
        <w:t>9</w:t>
      </w:r>
      <w:r w:rsidRPr="00217F2D">
        <w:rPr>
          <w:rFonts w:eastAsia="Calibri"/>
          <w:szCs w:val="24"/>
        </w:rPr>
        <w:t>. per 5 darbo dienas pateikia NVŠ ir jo teikėjo veiklos išorinio vertinimo rezultatus ir  vertinimo išvadą vertinimo grupės vadovui;</w:t>
      </w:r>
    </w:p>
    <w:p w:rsidR="00045DCE" w:rsidRPr="00217F2D" w:rsidRDefault="00045DCE" w:rsidP="00045DCE">
      <w:pPr>
        <w:tabs>
          <w:tab w:val="left" w:pos="851"/>
          <w:tab w:val="left" w:pos="1134"/>
        </w:tabs>
        <w:jc w:val="both"/>
        <w:rPr>
          <w:rFonts w:eastAsia="Calibri"/>
          <w:szCs w:val="24"/>
        </w:rPr>
      </w:pPr>
      <w:r w:rsidRPr="00217F2D">
        <w:rPr>
          <w:rFonts w:eastAsia="Calibri"/>
          <w:szCs w:val="24"/>
        </w:rPr>
        <w:tab/>
        <w:t>17.2.</w:t>
      </w:r>
      <w:r w:rsidR="0083067D">
        <w:rPr>
          <w:rFonts w:eastAsia="Calibri"/>
          <w:szCs w:val="24"/>
        </w:rPr>
        <w:t>10</w:t>
      </w:r>
      <w:r w:rsidRPr="00217F2D">
        <w:rPr>
          <w:rFonts w:eastAsia="Calibri"/>
          <w:szCs w:val="24"/>
        </w:rPr>
        <w:t>. siūlo priemones, padėsiančias NVŠ teikėjui gerinti veiklos kokybę.</w:t>
      </w:r>
    </w:p>
    <w:p w:rsidR="00045DCE" w:rsidRPr="00217F2D" w:rsidRDefault="00045DCE" w:rsidP="00045DCE">
      <w:pPr>
        <w:tabs>
          <w:tab w:val="left" w:pos="851"/>
          <w:tab w:val="left" w:pos="1134"/>
        </w:tabs>
        <w:jc w:val="both"/>
        <w:rPr>
          <w:rFonts w:eastAsia="Calibri"/>
          <w:szCs w:val="24"/>
        </w:rPr>
      </w:pPr>
      <w:r w:rsidRPr="00217F2D">
        <w:rPr>
          <w:rFonts w:eastAsia="Calibri"/>
          <w:szCs w:val="24"/>
        </w:rPr>
        <w:tab/>
        <w:t>18. NVŠ teikėjas, gavęs išorinio vertinimo rezultatus ir kokybės vertinimo išvadą:</w:t>
      </w:r>
    </w:p>
    <w:p w:rsidR="00045DCE" w:rsidRPr="00217F2D" w:rsidRDefault="00045DCE" w:rsidP="00045DCE">
      <w:pPr>
        <w:tabs>
          <w:tab w:val="left" w:pos="0"/>
          <w:tab w:val="left" w:pos="851"/>
        </w:tabs>
        <w:jc w:val="both"/>
        <w:rPr>
          <w:rFonts w:eastAsia="Calibri"/>
          <w:szCs w:val="24"/>
        </w:rPr>
      </w:pPr>
      <w:r w:rsidRPr="00217F2D">
        <w:rPr>
          <w:rFonts w:eastAsia="Calibri"/>
          <w:szCs w:val="24"/>
        </w:rPr>
        <w:tab/>
        <w:t>18.1. su rezultatais ir išvadomis per 10 darbo dienų supažindina bendruomenę;</w:t>
      </w:r>
    </w:p>
    <w:p w:rsidR="00045DCE" w:rsidRPr="00217F2D" w:rsidRDefault="00045DCE" w:rsidP="00045DCE">
      <w:pPr>
        <w:tabs>
          <w:tab w:val="left" w:pos="0"/>
          <w:tab w:val="left" w:pos="851"/>
        </w:tabs>
        <w:jc w:val="both"/>
        <w:rPr>
          <w:rFonts w:eastAsia="Calibri"/>
          <w:szCs w:val="24"/>
        </w:rPr>
      </w:pPr>
      <w:r w:rsidRPr="00217F2D">
        <w:rPr>
          <w:rFonts w:eastAsia="Calibri"/>
          <w:szCs w:val="24"/>
        </w:rPr>
        <w:tab/>
        <w:t>18.2. informacija apie atliktą išorinį vertinimą viešai skelbia įstaigos tinklapyje ar kitose viešojo informavimo priemonėse;</w:t>
      </w:r>
    </w:p>
    <w:p w:rsidR="00045DCE" w:rsidRPr="00217F2D" w:rsidRDefault="00045DCE" w:rsidP="00045DCE">
      <w:pPr>
        <w:tabs>
          <w:tab w:val="left" w:pos="851"/>
        </w:tabs>
        <w:jc w:val="both"/>
        <w:rPr>
          <w:rFonts w:eastAsia="Calibri"/>
          <w:szCs w:val="24"/>
        </w:rPr>
      </w:pPr>
      <w:r w:rsidRPr="00217F2D">
        <w:rPr>
          <w:rFonts w:eastAsia="Calibri"/>
          <w:szCs w:val="24"/>
        </w:rPr>
        <w:tab/>
        <w:t xml:space="preserve">18.3. parengia veiklos tobulinimo planą ir jį pateikia Švietimo ir sporto skyriui. </w:t>
      </w:r>
    </w:p>
    <w:p w:rsidR="00045DCE" w:rsidRPr="00217F2D" w:rsidRDefault="00045DCE" w:rsidP="00045DCE">
      <w:pPr>
        <w:jc w:val="center"/>
        <w:rPr>
          <w:rFonts w:eastAsia="Calibri"/>
          <w:szCs w:val="24"/>
        </w:rPr>
      </w:pPr>
    </w:p>
    <w:p w:rsidR="00045DCE" w:rsidRPr="00217F2D" w:rsidRDefault="00045DCE" w:rsidP="00045DCE">
      <w:pPr>
        <w:jc w:val="center"/>
        <w:rPr>
          <w:rFonts w:eastAsia="Calibri"/>
          <w:b/>
          <w:bCs/>
          <w:szCs w:val="24"/>
        </w:rPr>
      </w:pPr>
      <w:r w:rsidRPr="00217F2D">
        <w:rPr>
          <w:rFonts w:eastAsia="Calibri"/>
          <w:b/>
          <w:bCs/>
          <w:szCs w:val="24"/>
        </w:rPr>
        <w:t>V SKYRIUS</w:t>
      </w:r>
    </w:p>
    <w:p w:rsidR="00045DCE" w:rsidRPr="00217F2D" w:rsidRDefault="00045DCE" w:rsidP="00045DCE">
      <w:pPr>
        <w:jc w:val="center"/>
        <w:rPr>
          <w:rFonts w:eastAsia="Calibri"/>
          <w:b/>
          <w:bCs/>
          <w:szCs w:val="24"/>
        </w:rPr>
      </w:pPr>
      <w:r w:rsidRPr="00217F2D">
        <w:rPr>
          <w:rFonts w:eastAsia="Calibri"/>
          <w:b/>
          <w:bCs/>
          <w:szCs w:val="24"/>
        </w:rPr>
        <w:t>BAIGIAMOSIOS NUOSTATOS</w:t>
      </w:r>
    </w:p>
    <w:p w:rsidR="00045DCE" w:rsidRPr="00217F2D" w:rsidRDefault="00045DCE" w:rsidP="00045DCE">
      <w:pPr>
        <w:rPr>
          <w:rFonts w:eastAsia="Calibri"/>
          <w:szCs w:val="24"/>
        </w:rPr>
      </w:pPr>
    </w:p>
    <w:p w:rsidR="00045DCE" w:rsidRPr="00217F2D" w:rsidRDefault="00045DCE" w:rsidP="00045DCE">
      <w:pPr>
        <w:tabs>
          <w:tab w:val="left" w:pos="851"/>
        </w:tabs>
        <w:jc w:val="both"/>
        <w:rPr>
          <w:rFonts w:eastAsia="Calibri"/>
          <w:szCs w:val="24"/>
        </w:rPr>
      </w:pPr>
      <w:r w:rsidRPr="00217F2D">
        <w:rPr>
          <w:rFonts w:eastAsia="Calibri"/>
          <w:szCs w:val="24"/>
        </w:rPr>
        <w:tab/>
        <w:t xml:space="preserve">19. Išoriniam vertinimui organizuoti ir vykdyti naudojamos </w:t>
      </w:r>
      <w:r w:rsidR="00432E5D">
        <w:rPr>
          <w:rFonts w:eastAsia="Calibri"/>
          <w:szCs w:val="24"/>
        </w:rPr>
        <w:t>S</w:t>
      </w:r>
      <w:r w:rsidRPr="00217F2D">
        <w:rPr>
          <w:rFonts w:eastAsia="Calibri"/>
          <w:szCs w:val="24"/>
        </w:rPr>
        <w:t xml:space="preserve">avivaldybės biudžeto ar kitų teisės aktų nustatyta tvarka numatytos lėšos. </w:t>
      </w:r>
    </w:p>
    <w:p w:rsidR="00045DCE" w:rsidRPr="00217F2D" w:rsidRDefault="00045DCE" w:rsidP="00045DCE">
      <w:pPr>
        <w:tabs>
          <w:tab w:val="left" w:pos="851"/>
        </w:tabs>
        <w:jc w:val="both"/>
        <w:rPr>
          <w:rFonts w:eastAsia="Calibri"/>
          <w:szCs w:val="24"/>
        </w:rPr>
      </w:pPr>
      <w:r w:rsidRPr="00217F2D">
        <w:rPr>
          <w:rFonts w:eastAsia="Calibri"/>
          <w:szCs w:val="24"/>
        </w:rPr>
        <w:tab/>
        <w:t xml:space="preserve">20. Išorinio vertinimo vykdymo data gali būti pakeista dėl </w:t>
      </w:r>
      <w:r w:rsidRPr="008F59BC">
        <w:rPr>
          <w:rFonts w:eastAsia="Calibri"/>
          <w:i/>
          <w:szCs w:val="24"/>
        </w:rPr>
        <w:t>force majeure</w:t>
      </w:r>
      <w:r w:rsidRPr="00217F2D">
        <w:rPr>
          <w:rFonts w:eastAsia="Calibri"/>
          <w:szCs w:val="24"/>
        </w:rPr>
        <w:t xml:space="preserve"> aplinkybių. </w:t>
      </w:r>
    </w:p>
    <w:p w:rsidR="00045DCE" w:rsidRPr="00884CBB" w:rsidRDefault="00045DCE" w:rsidP="00045DCE">
      <w:pPr>
        <w:tabs>
          <w:tab w:val="left" w:pos="851"/>
        </w:tabs>
        <w:jc w:val="both"/>
        <w:rPr>
          <w:rStyle w:val="Hipersaitas"/>
          <w:color w:val="auto"/>
          <w:szCs w:val="24"/>
        </w:rPr>
      </w:pPr>
      <w:r w:rsidRPr="00217F2D">
        <w:rPr>
          <w:rFonts w:eastAsia="Calibri"/>
          <w:szCs w:val="24"/>
        </w:rPr>
        <w:tab/>
        <w:t xml:space="preserve">21. </w:t>
      </w:r>
      <w:r w:rsidRPr="00217F2D">
        <w:rPr>
          <w:szCs w:val="24"/>
        </w:rPr>
        <w:t xml:space="preserve">Informacija apie NVŠ ir jo teikėjų kokybės užtikrinimo tvarką Savivaldybėje skelbiama interneto </w:t>
      </w:r>
      <w:r w:rsidRPr="00884CBB">
        <w:rPr>
          <w:szCs w:val="24"/>
        </w:rPr>
        <w:t xml:space="preserve">svetainėje </w:t>
      </w:r>
      <w:hyperlink r:id="rId9" w:history="1">
        <w:r w:rsidR="007D7900" w:rsidRPr="00884CBB">
          <w:rPr>
            <w:rStyle w:val="Hipersaitas"/>
            <w:color w:val="auto"/>
            <w:szCs w:val="24"/>
          </w:rPr>
          <w:t>www.pasvalys.lt</w:t>
        </w:r>
      </w:hyperlink>
      <w:r w:rsidRPr="00884CBB">
        <w:rPr>
          <w:rStyle w:val="Hipersaitas"/>
          <w:color w:val="auto"/>
          <w:szCs w:val="24"/>
        </w:rPr>
        <w:t xml:space="preserve">. </w:t>
      </w:r>
    </w:p>
    <w:p w:rsidR="00045DCE" w:rsidRPr="00217F2D" w:rsidRDefault="00045DCE" w:rsidP="00045DCE">
      <w:pPr>
        <w:tabs>
          <w:tab w:val="left" w:pos="851"/>
        </w:tabs>
        <w:jc w:val="both"/>
        <w:rPr>
          <w:rFonts w:eastAsia="Calibri"/>
          <w:szCs w:val="24"/>
        </w:rPr>
      </w:pPr>
      <w:r w:rsidRPr="00217F2D">
        <w:rPr>
          <w:rFonts w:eastAsia="Calibri"/>
          <w:szCs w:val="24"/>
        </w:rPr>
        <w:tab/>
        <w:t>22. Švietimo ir sporto skyrius  yra atsakingas už Tvarkos aprašo įgyvendinimą ir kontrolę.</w:t>
      </w:r>
    </w:p>
    <w:p w:rsidR="00045DCE" w:rsidRPr="00217F2D" w:rsidRDefault="00045DCE" w:rsidP="00045DCE">
      <w:pPr>
        <w:jc w:val="center"/>
        <w:rPr>
          <w:szCs w:val="24"/>
        </w:rPr>
      </w:pPr>
      <w:r w:rsidRPr="00217F2D">
        <w:rPr>
          <w:szCs w:val="24"/>
        </w:rPr>
        <w:tab/>
      </w:r>
      <w:r w:rsidRPr="00217F2D">
        <w:rPr>
          <w:szCs w:val="24"/>
        </w:rPr>
        <w:tab/>
      </w:r>
      <w:r w:rsidRPr="00217F2D">
        <w:rPr>
          <w:szCs w:val="24"/>
        </w:rPr>
        <w:tab/>
        <w:t>________________</w:t>
      </w:r>
      <w:r w:rsidRPr="00217F2D">
        <w:rPr>
          <w:szCs w:val="24"/>
        </w:rPr>
        <w:tab/>
      </w:r>
      <w:r w:rsidRPr="00217F2D">
        <w:rPr>
          <w:szCs w:val="24"/>
        </w:rPr>
        <w:tab/>
      </w:r>
      <w:r w:rsidRPr="00217F2D">
        <w:rPr>
          <w:szCs w:val="24"/>
        </w:rPr>
        <w:tab/>
      </w:r>
    </w:p>
    <w:p w:rsidR="00496533" w:rsidRDefault="00496533" w:rsidP="00964982">
      <w:pPr>
        <w:pStyle w:val="Antrats"/>
        <w:tabs>
          <w:tab w:val="clear" w:pos="4153"/>
          <w:tab w:val="clear" w:pos="8306"/>
        </w:tabs>
      </w:pPr>
    </w:p>
    <w:sectPr w:rsidR="00496533"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B5DAD" w:rsidRDefault="00CB5DAD">
      <w:r>
        <w:separator/>
      </w:r>
    </w:p>
  </w:endnote>
  <w:endnote w:type="continuationSeparator" w:id="0">
    <w:p w:rsidR="00CB5DAD" w:rsidRDefault="00CB5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1"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B5DAD" w:rsidRDefault="00CB5DAD">
      <w:r>
        <w:separator/>
      </w:r>
    </w:p>
  </w:footnote>
  <w:footnote w:type="continuationSeparator" w:id="0">
    <w:p w:rsidR="00CB5DAD" w:rsidRDefault="00CB5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6533" w:rsidRDefault="00496533">
    <w:pPr>
      <w:pStyle w:val="Antrats"/>
      <w:rPr>
        <w:b/>
      </w:rPr>
    </w:pPr>
    <w:r>
      <w:tab/>
    </w:r>
    <w:r>
      <w:tab/>
      <w:t xml:space="preserve">   </w:t>
    </w:r>
  </w:p>
  <w:p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1371DA4"/>
    <w:multiLevelType w:val="hybridMultilevel"/>
    <w:tmpl w:val="0074D57E"/>
    <w:lvl w:ilvl="0" w:tplc="981A8E56">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1"/>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EAD"/>
    <w:rsid w:val="00045DCE"/>
    <w:rsid w:val="00065A3B"/>
    <w:rsid w:val="000B00D7"/>
    <w:rsid w:val="000C097B"/>
    <w:rsid w:val="000C5C88"/>
    <w:rsid w:val="000C6BA9"/>
    <w:rsid w:val="000F6D7C"/>
    <w:rsid w:val="001102C3"/>
    <w:rsid w:val="001107AE"/>
    <w:rsid w:val="0013698F"/>
    <w:rsid w:val="00137271"/>
    <w:rsid w:val="00184B6C"/>
    <w:rsid w:val="00193618"/>
    <w:rsid w:val="001A0DCB"/>
    <w:rsid w:val="001F1B9B"/>
    <w:rsid w:val="00223C5A"/>
    <w:rsid w:val="00231BE6"/>
    <w:rsid w:val="002466D9"/>
    <w:rsid w:val="002C6571"/>
    <w:rsid w:val="00301AD9"/>
    <w:rsid w:val="00301C07"/>
    <w:rsid w:val="00313EE5"/>
    <w:rsid w:val="00325084"/>
    <w:rsid w:val="00333E18"/>
    <w:rsid w:val="00345F5D"/>
    <w:rsid w:val="00376089"/>
    <w:rsid w:val="003A0344"/>
    <w:rsid w:val="003B5018"/>
    <w:rsid w:val="003D6972"/>
    <w:rsid w:val="003D6D34"/>
    <w:rsid w:val="003E729C"/>
    <w:rsid w:val="00432E5D"/>
    <w:rsid w:val="00462102"/>
    <w:rsid w:val="00474716"/>
    <w:rsid w:val="00474F10"/>
    <w:rsid w:val="00482E62"/>
    <w:rsid w:val="00496533"/>
    <w:rsid w:val="004E2CB3"/>
    <w:rsid w:val="00511CC1"/>
    <w:rsid w:val="00536AA8"/>
    <w:rsid w:val="00553451"/>
    <w:rsid w:val="00591345"/>
    <w:rsid w:val="005A7EF8"/>
    <w:rsid w:val="005B3856"/>
    <w:rsid w:val="005D372C"/>
    <w:rsid w:val="005F5350"/>
    <w:rsid w:val="00602128"/>
    <w:rsid w:val="0060368F"/>
    <w:rsid w:val="006038E7"/>
    <w:rsid w:val="006174D8"/>
    <w:rsid w:val="00637C95"/>
    <w:rsid w:val="00646AC5"/>
    <w:rsid w:val="00674D03"/>
    <w:rsid w:val="007009A1"/>
    <w:rsid w:val="00717F54"/>
    <w:rsid w:val="00741A42"/>
    <w:rsid w:val="00760BD5"/>
    <w:rsid w:val="0076481B"/>
    <w:rsid w:val="007759D7"/>
    <w:rsid w:val="0078215A"/>
    <w:rsid w:val="007852DD"/>
    <w:rsid w:val="007A3E97"/>
    <w:rsid w:val="007C2E3E"/>
    <w:rsid w:val="007D5514"/>
    <w:rsid w:val="007D7900"/>
    <w:rsid w:val="0083067D"/>
    <w:rsid w:val="00836AA3"/>
    <w:rsid w:val="008520E7"/>
    <w:rsid w:val="008761C8"/>
    <w:rsid w:val="00884CBB"/>
    <w:rsid w:val="008903C9"/>
    <w:rsid w:val="008A6696"/>
    <w:rsid w:val="008D6F1F"/>
    <w:rsid w:val="008F4F65"/>
    <w:rsid w:val="008F59BC"/>
    <w:rsid w:val="008F5A67"/>
    <w:rsid w:val="009073DA"/>
    <w:rsid w:val="009217F2"/>
    <w:rsid w:val="00931E2E"/>
    <w:rsid w:val="00933AC3"/>
    <w:rsid w:val="0094106B"/>
    <w:rsid w:val="00964982"/>
    <w:rsid w:val="0098492C"/>
    <w:rsid w:val="009C44F1"/>
    <w:rsid w:val="009F1072"/>
    <w:rsid w:val="00A42A3E"/>
    <w:rsid w:val="00A51FB4"/>
    <w:rsid w:val="00A61381"/>
    <w:rsid w:val="00A80361"/>
    <w:rsid w:val="00A8575A"/>
    <w:rsid w:val="00A9430D"/>
    <w:rsid w:val="00A95BB6"/>
    <w:rsid w:val="00A97B0F"/>
    <w:rsid w:val="00AA4A4D"/>
    <w:rsid w:val="00AB5186"/>
    <w:rsid w:val="00AB5B3F"/>
    <w:rsid w:val="00B13E78"/>
    <w:rsid w:val="00B27617"/>
    <w:rsid w:val="00B34346"/>
    <w:rsid w:val="00B502D2"/>
    <w:rsid w:val="00B63BF8"/>
    <w:rsid w:val="00C010E9"/>
    <w:rsid w:val="00C238A9"/>
    <w:rsid w:val="00C42806"/>
    <w:rsid w:val="00C56F65"/>
    <w:rsid w:val="00C6588F"/>
    <w:rsid w:val="00C733AE"/>
    <w:rsid w:val="00C775F7"/>
    <w:rsid w:val="00CA6737"/>
    <w:rsid w:val="00CB5DAD"/>
    <w:rsid w:val="00CC5535"/>
    <w:rsid w:val="00CF110A"/>
    <w:rsid w:val="00D40910"/>
    <w:rsid w:val="00D64C37"/>
    <w:rsid w:val="00D7418F"/>
    <w:rsid w:val="00DA205D"/>
    <w:rsid w:val="00DD071C"/>
    <w:rsid w:val="00DE7C4C"/>
    <w:rsid w:val="00E27FE9"/>
    <w:rsid w:val="00E64A7F"/>
    <w:rsid w:val="00EE1AA2"/>
    <w:rsid w:val="00EE29F8"/>
    <w:rsid w:val="00F266B9"/>
    <w:rsid w:val="00F30254"/>
    <w:rsid w:val="00F36E16"/>
    <w:rsid w:val="00F61A93"/>
    <w:rsid w:val="00FD44F2"/>
    <w:rsid w:val="00FD6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F97075"/>
  <w15:docId w15:val="{8721C16C-BCC4-4ADA-8B43-11CD5CF5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rsid w:val="00C6588F"/>
    <w:pPr>
      <w:tabs>
        <w:tab w:val="center" w:pos="4153"/>
        <w:tab w:val="right" w:pos="8306"/>
      </w:tabs>
    </w:pPr>
  </w:style>
  <w:style w:type="character" w:customStyle="1" w:styleId="AntratsDiagrama">
    <w:name w:val="Antraštės Diagrama"/>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link w:val="Debesliotekstas"/>
    <w:uiPriority w:val="99"/>
    <w:semiHidden/>
    <w:locked/>
    <w:rsid w:val="00C6588F"/>
    <w:rPr>
      <w:rFonts w:cs="Times New Roman"/>
      <w:sz w:val="2"/>
      <w:lang w:eastAsia="en-US"/>
    </w:rPr>
  </w:style>
  <w:style w:type="character" w:customStyle="1" w:styleId="typewriter">
    <w:name w:val="typewriter"/>
    <w:uiPriority w:val="99"/>
    <w:rsid w:val="00C6588F"/>
    <w:rPr>
      <w:rFonts w:cs="Times New Roman"/>
    </w:rPr>
  </w:style>
  <w:style w:type="character" w:styleId="Vietosrezervavimoenklotekstas">
    <w:name w:val="Placeholder Text"/>
    <w:uiPriority w:val="99"/>
    <w:semiHidden/>
    <w:rsid w:val="00C6588F"/>
    <w:rPr>
      <w:rFonts w:cs="Times New Roman"/>
      <w:color w:val="808080"/>
    </w:rPr>
  </w:style>
  <w:style w:type="character" w:customStyle="1" w:styleId="antr">
    <w:name w:val="antr"/>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uiPriority w:val="99"/>
    <w:semiHidden/>
    <w:locked/>
    <w:rsid w:val="00C6588F"/>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sz w:val="22"/>
      <w:szCs w:val="22"/>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lang w:val="en-US" w:eastAsia="en-US"/>
    </w:rPr>
  </w:style>
  <w:style w:type="character" w:styleId="Grietas">
    <w:name w:val="Strong"/>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link w:val="Pavadinimas"/>
    <w:uiPriority w:val="99"/>
    <w:rsid w:val="00345F5D"/>
    <w:rPr>
      <w:b/>
      <w:sz w:val="24"/>
      <w:szCs w:val="20"/>
    </w:rPr>
  </w:style>
  <w:style w:type="paragraph" w:customStyle="1" w:styleId="Hyperlink1">
    <w:name w:val="Hyperlink1"/>
    <w:rsid w:val="00345F5D"/>
    <w:pPr>
      <w:autoSpaceDE w:val="0"/>
      <w:autoSpaceDN w:val="0"/>
      <w:adjustRightInd w:val="0"/>
      <w:ind w:firstLine="312"/>
      <w:jc w:val="both"/>
    </w:pPr>
    <w:rPr>
      <w:rFonts w:ascii="TimesLT" w:hAnsi="TimesLT"/>
      <w:lang w:val="en-US" w:eastAsia="en-US"/>
    </w:rPr>
  </w:style>
  <w:style w:type="character" w:styleId="Puslapionumeris">
    <w:name w:val="page number"/>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link w:val="Pagrindinistekstas20"/>
    <w:uiPriority w:val="99"/>
    <w:rsid w:val="00345F5D"/>
    <w:rPr>
      <w:sz w:val="24"/>
      <w:szCs w:val="20"/>
    </w:rPr>
  </w:style>
  <w:style w:type="paragraph" w:customStyle="1" w:styleId="MAZAS">
    <w:name w:val="MAZAS"/>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rsid w:val="00345F5D"/>
    <w:pPr>
      <w:autoSpaceDE w:val="0"/>
      <w:autoSpaceDN w:val="0"/>
      <w:adjustRightInd w:val="0"/>
      <w:jc w:val="center"/>
    </w:pPr>
    <w:rPr>
      <w:rFonts w:ascii="TimesLT" w:hAnsi="TimesLT"/>
      <w:b/>
      <w:bCs/>
      <w:caps/>
      <w:lang w:val="en-US" w:eastAsia="en-US"/>
    </w:rPr>
  </w:style>
  <w:style w:type="character" w:customStyle="1" w:styleId="Neapdorotaspaminjimas1">
    <w:name w:val="Neapdorotas paminėjimas1"/>
    <w:uiPriority w:val="99"/>
    <w:semiHidden/>
    <w:unhideWhenUsed/>
    <w:rsid w:val="007D7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211894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asval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2446ED-C0CB-4413-BCFC-AB98C9731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1582</Words>
  <Characters>11230</Characters>
  <Application>Microsoft Office Word</Application>
  <DocSecurity>0</DocSecurity>
  <Lines>93</Lines>
  <Paragraphs>25</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12787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6</cp:revision>
  <cp:lastPrinted>2020-06-10T07:13:00Z</cp:lastPrinted>
  <dcterms:created xsi:type="dcterms:W3CDTF">2020-06-03T12:41:00Z</dcterms:created>
  <dcterms:modified xsi:type="dcterms:W3CDTF">2020-06-12T06:59:00Z</dcterms:modified>
</cp:coreProperties>
</file>