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8225D" w14:textId="77777777" w:rsidR="00255564" w:rsidRDefault="006A08CE">
      <w:r>
        <w:rPr>
          <w:noProof/>
          <w:lang w:eastAsia="lt-LT"/>
        </w:rPr>
        <mc:AlternateContent>
          <mc:Choice Requires="wps">
            <w:drawing>
              <wp:anchor distT="0" distB="0" distL="114300" distR="114300" simplePos="0" relativeHeight="251657728" behindDoc="0" locked="0" layoutInCell="1" allowOverlap="1" wp14:anchorId="52CA89A0" wp14:editId="3F0E996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B4CEE3" w14:textId="77777777" w:rsidR="00255564" w:rsidRDefault="00255564">
                            <w:pPr>
                              <w:rPr>
                                <w:b/>
                              </w:rPr>
                            </w:pPr>
                            <w:r>
                              <w:rPr>
                                <w:b/>
                                <w:bCs/>
                              </w:rPr>
                              <w:t>projektas</w:t>
                            </w:r>
                          </w:p>
                          <w:p w14:paraId="4D71CBFB" w14:textId="77777777" w:rsidR="00255564" w:rsidRDefault="00255564">
                            <w:pPr>
                              <w:rPr>
                                <w:b/>
                              </w:rPr>
                            </w:pPr>
                            <w:r>
                              <w:rPr>
                                <w:b/>
                                <w:bCs/>
                              </w:rPr>
                              <w:t>reg. Nr. T</w:t>
                            </w:r>
                            <w:r>
                              <w:rPr>
                                <w:b/>
                              </w:rPr>
                              <w:t>-</w:t>
                            </w:r>
                            <w:r w:rsidR="00337166">
                              <w:rPr>
                                <w:b/>
                              </w:rPr>
                              <w:t>145</w:t>
                            </w:r>
                          </w:p>
                          <w:p w14:paraId="21AB3D25" w14:textId="301D51E2" w:rsidR="00255564" w:rsidRDefault="00255564">
                            <w:pPr>
                              <w:rPr>
                                <w:b/>
                              </w:rPr>
                            </w:pPr>
                            <w:r>
                              <w:rPr>
                                <w:b/>
                              </w:rPr>
                              <w:t>2.</w:t>
                            </w:r>
                            <w:r w:rsidR="00680D83">
                              <w:rPr>
                                <w:b/>
                              </w:rPr>
                              <w:t xml:space="preserve">18.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A89A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2B4CEE3" w14:textId="77777777" w:rsidR="00255564" w:rsidRDefault="00255564">
                      <w:pPr>
                        <w:rPr>
                          <w:b/>
                        </w:rPr>
                      </w:pPr>
                      <w:r>
                        <w:rPr>
                          <w:b/>
                          <w:bCs/>
                        </w:rPr>
                        <w:t>projektas</w:t>
                      </w:r>
                    </w:p>
                    <w:p w14:paraId="4D71CBFB" w14:textId="77777777" w:rsidR="00255564" w:rsidRDefault="00255564">
                      <w:pPr>
                        <w:rPr>
                          <w:b/>
                        </w:rPr>
                      </w:pPr>
                      <w:r>
                        <w:rPr>
                          <w:b/>
                          <w:bCs/>
                        </w:rPr>
                        <w:t>reg. Nr. T</w:t>
                      </w:r>
                      <w:r>
                        <w:rPr>
                          <w:b/>
                        </w:rPr>
                        <w:t>-</w:t>
                      </w:r>
                      <w:r w:rsidR="00337166">
                        <w:rPr>
                          <w:b/>
                        </w:rPr>
                        <w:t>145</w:t>
                      </w:r>
                    </w:p>
                    <w:p w14:paraId="21AB3D25" w14:textId="301D51E2" w:rsidR="00255564" w:rsidRDefault="00255564">
                      <w:pPr>
                        <w:rPr>
                          <w:b/>
                        </w:rPr>
                      </w:pPr>
                      <w:r>
                        <w:rPr>
                          <w:b/>
                        </w:rPr>
                        <w:t>2.</w:t>
                      </w:r>
                      <w:r w:rsidR="00680D83">
                        <w:rPr>
                          <w:b/>
                        </w:rPr>
                        <w:t xml:space="preserve">18. </w:t>
                      </w:r>
                      <w:r>
                        <w:rPr>
                          <w:b/>
                        </w:rPr>
                        <w:t>darbotvarkės klausimas</w:t>
                      </w:r>
                    </w:p>
                  </w:txbxContent>
                </v:textbox>
              </v:shape>
            </w:pict>
          </mc:Fallback>
        </mc:AlternateContent>
      </w:r>
    </w:p>
    <w:p w14:paraId="541B44F7" w14:textId="77777777" w:rsidR="00255564" w:rsidRDefault="00255564">
      <w:pPr>
        <w:pStyle w:val="Antrats"/>
        <w:jc w:val="center"/>
        <w:rPr>
          <w:b/>
          <w:bCs/>
          <w:caps/>
          <w:sz w:val="26"/>
        </w:rPr>
      </w:pPr>
      <w:bookmarkStart w:id="0" w:name="Institucija"/>
      <w:r>
        <w:rPr>
          <w:b/>
          <w:bCs/>
          <w:caps/>
          <w:sz w:val="26"/>
        </w:rPr>
        <w:t>Pasvalio rajono savivaldybės taryba</w:t>
      </w:r>
      <w:bookmarkEnd w:id="0"/>
    </w:p>
    <w:p w14:paraId="3531A93F" w14:textId="77777777" w:rsidR="00255564" w:rsidRDefault="00255564"/>
    <w:p w14:paraId="4D36B6D8" w14:textId="77777777" w:rsidR="00255564" w:rsidRPr="0014297C" w:rsidRDefault="00255564" w:rsidP="0014297C">
      <w:pPr>
        <w:jc w:val="center"/>
        <w:rPr>
          <w:b/>
          <w:caps/>
        </w:rPr>
      </w:pPr>
      <w:bookmarkStart w:id="1" w:name="Forma"/>
      <w:r w:rsidRPr="0014297C">
        <w:rPr>
          <w:b/>
          <w:caps/>
        </w:rPr>
        <w:t>Sprendimas</w:t>
      </w:r>
      <w:bookmarkEnd w:id="1"/>
    </w:p>
    <w:p w14:paraId="471157F5" w14:textId="77777777" w:rsidR="00255564" w:rsidRPr="0014297C" w:rsidRDefault="00255564" w:rsidP="0014297C">
      <w:pPr>
        <w:jc w:val="center"/>
        <w:rPr>
          <w:b/>
          <w:caps/>
        </w:rPr>
      </w:pPr>
      <w:bookmarkStart w:id="2" w:name="Pavadinimas"/>
      <w:r>
        <w:rPr>
          <w:b/>
          <w:caps/>
        </w:rPr>
        <w:t xml:space="preserve"> </w:t>
      </w:r>
      <w:r>
        <w:rPr>
          <w:b/>
          <w:bCs/>
          <w:caps/>
        </w:rPr>
        <w:t>Dėl 20</w:t>
      </w:r>
      <w:r w:rsidR="00444BBF">
        <w:rPr>
          <w:b/>
          <w:bCs/>
          <w:caps/>
        </w:rPr>
        <w:t>20</w:t>
      </w:r>
      <w:r>
        <w:rPr>
          <w:b/>
          <w:bCs/>
          <w:caps/>
        </w:rPr>
        <w:t xml:space="preserve"> METŲ nuomos mokesčio už valstybinę žemę tarifų ir lengvatų nustatymo</w:t>
      </w:r>
    </w:p>
    <w:bookmarkEnd w:id="2"/>
    <w:p w14:paraId="7F682386" w14:textId="77777777" w:rsidR="00255564" w:rsidRDefault="00255564" w:rsidP="0014297C">
      <w:pPr>
        <w:jc w:val="center"/>
      </w:pPr>
    </w:p>
    <w:p w14:paraId="5927BD7F" w14:textId="77777777" w:rsidR="00255564" w:rsidRDefault="00255564" w:rsidP="0014297C">
      <w:pPr>
        <w:jc w:val="center"/>
      </w:pPr>
      <w:bookmarkStart w:id="3" w:name="Data"/>
      <w:r>
        <w:t>20</w:t>
      </w:r>
      <w:r w:rsidR="00444BBF">
        <w:t>20</w:t>
      </w:r>
      <w:r>
        <w:t xml:space="preserve"> m. </w:t>
      </w:r>
      <w:r w:rsidR="00444BBF">
        <w:t>rugpjūčio</w:t>
      </w:r>
      <w:r>
        <w:t xml:space="preserve">  d. </w:t>
      </w:r>
      <w:bookmarkEnd w:id="3"/>
      <w:r>
        <w:tab/>
        <w:t xml:space="preserve">Nr. </w:t>
      </w:r>
      <w:bookmarkStart w:id="4" w:name="Nr"/>
      <w:r>
        <w:t>T1-</w:t>
      </w:r>
    </w:p>
    <w:bookmarkEnd w:id="4"/>
    <w:p w14:paraId="649D87AD" w14:textId="77777777" w:rsidR="00255564" w:rsidRDefault="00255564" w:rsidP="0014297C">
      <w:pPr>
        <w:jc w:val="center"/>
      </w:pPr>
      <w:r>
        <w:t>Pasvalys</w:t>
      </w:r>
    </w:p>
    <w:p w14:paraId="0A6AF030" w14:textId="77777777" w:rsidR="00255564" w:rsidRDefault="00255564">
      <w:pPr>
        <w:pStyle w:val="Antrats"/>
        <w:tabs>
          <w:tab w:val="clear" w:pos="4153"/>
          <w:tab w:val="clear" w:pos="8306"/>
        </w:tabs>
      </w:pPr>
    </w:p>
    <w:p w14:paraId="438D09F9" w14:textId="77777777" w:rsidR="00255564" w:rsidRDefault="00255564">
      <w:pPr>
        <w:pStyle w:val="Antrats"/>
        <w:tabs>
          <w:tab w:val="clear" w:pos="4153"/>
          <w:tab w:val="clear" w:pos="8306"/>
        </w:tabs>
        <w:sectPr w:rsidR="00255564">
          <w:headerReference w:type="first" r:id="rId7"/>
          <w:pgSz w:w="11906" w:h="16838" w:code="9"/>
          <w:pgMar w:top="1134" w:right="567" w:bottom="1134" w:left="1701" w:header="964" w:footer="567" w:gutter="0"/>
          <w:cols w:space="1296"/>
          <w:titlePg/>
        </w:sectPr>
      </w:pPr>
    </w:p>
    <w:p w14:paraId="14C47990" w14:textId="7A3ACA2D" w:rsidR="00255564" w:rsidRPr="00B136B9" w:rsidRDefault="00255564" w:rsidP="005D4F14">
      <w:pPr>
        <w:ind w:firstLine="720"/>
        <w:jc w:val="both"/>
        <w:rPr>
          <w:sz w:val="23"/>
          <w:szCs w:val="23"/>
        </w:rPr>
      </w:pPr>
      <w:r w:rsidRPr="00B136B9">
        <w:rPr>
          <w:sz w:val="23"/>
          <w:szCs w:val="23"/>
        </w:rPr>
        <w:t xml:space="preserve">Vadovaudamasi Lietuvos Respublikos vietos savivaldos įstatymo 16 straipsnio 2 dalies 37 punktu, Lietuvos Respublikos Vyriausybės 2002 m. lapkričio 19 d. nutarimu Nr. 1798 „Dėl nuomos mokesčio už valstybinę žemę“ </w:t>
      </w:r>
      <w:r w:rsidR="00BE0824" w:rsidRPr="00B136B9">
        <w:rPr>
          <w:sz w:val="23"/>
          <w:szCs w:val="23"/>
        </w:rPr>
        <w:t xml:space="preserve">(Lietuvos Respublikos Vyriausybės 2008 m. rugsėjo 3 d. nutarimo Nr. 892 redakcija) </w:t>
      </w:r>
      <w:r w:rsidRPr="00B136B9">
        <w:rPr>
          <w:sz w:val="23"/>
          <w:szCs w:val="23"/>
        </w:rPr>
        <w:t>(su visais aktualiais pakeitimais), Lietuvos Respublikos Vyriausybės 2003 m. lapkričio 10 d. nutarimu Nr. 1387 „Dėl žemės nuomos mokesčio už valstybinės žemės sklypų naudojimą“(su visais aktualiais pakeitimais), Pasvalio rajono savivaldybės taryba n u s p r e n d ž i a:</w:t>
      </w:r>
    </w:p>
    <w:p w14:paraId="50785690" w14:textId="77777777" w:rsidR="00255564" w:rsidRPr="00B136B9" w:rsidRDefault="00255564" w:rsidP="005D4F14">
      <w:pPr>
        <w:ind w:firstLine="720"/>
        <w:jc w:val="both"/>
        <w:rPr>
          <w:sz w:val="23"/>
          <w:szCs w:val="23"/>
        </w:rPr>
      </w:pPr>
      <w:r w:rsidRPr="00B136B9">
        <w:rPr>
          <w:sz w:val="23"/>
          <w:szCs w:val="23"/>
        </w:rPr>
        <w:t>1. Nustatyti nuomos mokesčio tarifą 20</w:t>
      </w:r>
      <w:r w:rsidR="00092F40" w:rsidRPr="00B136B9">
        <w:rPr>
          <w:sz w:val="23"/>
          <w:szCs w:val="23"/>
        </w:rPr>
        <w:t>20</w:t>
      </w:r>
      <w:r w:rsidRPr="00B136B9">
        <w:rPr>
          <w:sz w:val="23"/>
          <w:szCs w:val="23"/>
        </w:rPr>
        <w:t xml:space="preserve"> metams už valstybinę žemę (išnuomotą ne aukciono būdu): </w:t>
      </w:r>
    </w:p>
    <w:p w14:paraId="339DB691" w14:textId="77777777" w:rsidR="00255564" w:rsidRPr="00B136B9" w:rsidRDefault="00255564" w:rsidP="005D4F14">
      <w:pPr>
        <w:ind w:firstLine="720"/>
        <w:jc w:val="both"/>
        <w:rPr>
          <w:sz w:val="23"/>
          <w:szCs w:val="23"/>
        </w:rPr>
      </w:pPr>
      <w:r w:rsidRPr="00B136B9">
        <w:rPr>
          <w:sz w:val="23"/>
          <w:szCs w:val="23"/>
        </w:rPr>
        <w:t>1.1. už žemės ūkio paskirties –</w:t>
      </w:r>
      <w:r w:rsidRPr="00B136B9">
        <w:rPr>
          <w:b/>
          <w:sz w:val="23"/>
          <w:szCs w:val="23"/>
        </w:rPr>
        <w:t xml:space="preserve"> </w:t>
      </w:r>
      <w:r w:rsidRPr="00B136B9">
        <w:rPr>
          <w:sz w:val="23"/>
          <w:szCs w:val="23"/>
        </w:rPr>
        <w:t>4,0 procentai nuo vidutinės žemės rinkos vertės 20</w:t>
      </w:r>
      <w:r w:rsidR="00444BBF" w:rsidRPr="00B136B9">
        <w:rPr>
          <w:sz w:val="23"/>
          <w:szCs w:val="23"/>
        </w:rPr>
        <w:t>20</w:t>
      </w:r>
      <w:r w:rsidRPr="00B136B9">
        <w:rPr>
          <w:sz w:val="23"/>
          <w:szCs w:val="23"/>
        </w:rPr>
        <w:t xml:space="preserve"> m. sausio 1 d. apskaičiuotos pagal žemės verčių žemėlapius;</w:t>
      </w:r>
    </w:p>
    <w:p w14:paraId="4471B3DD" w14:textId="77777777" w:rsidR="00255564" w:rsidRPr="00B136B9" w:rsidRDefault="00255564" w:rsidP="005D4F14">
      <w:pPr>
        <w:ind w:firstLine="720"/>
        <w:jc w:val="both"/>
        <w:rPr>
          <w:sz w:val="23"/>
          <w:szCs w:val="23"/>
        </w:rPr>
      </w:pPr>
      <w:r w:rsidRPr="00B136B9">
        <w:rPr>
          <w:sz w:val="23"/>
          <w:szCs w:val="23"/>
        </w:rPr>
        <w:t xml:space="preserve"> 1.2. už namų valdos žemę – 1,5 procento nuo vidutinės žemės rinkos vertės 20</w:t>
      </w:r>
      <w:r w:rsidR="00444BBF" w:rsidRPr="00B136B9">
        <w:rPr>
          <w:sz w:val="23"/>
          <w:szCs w:val="23"/>
        </w:rPr>
        <w:t>20</w:t>
      </w:r>
      <w:r w:rsidRPr="00B136B9">
        <w:rPr>
          <w:sz w:val="23"/>
          <w:szCs w:val="23"/>
        </w:rPr>
        <w:t xml:space="preserve"> m. sausio 1 d. apskaičiuotos pagal žemės verčių žemėlapius; </w:t>
      </w:r>
    </w:p>
    <w:p w14:paraId="590E014C" w14:textId="77777777" w:rsidR="00255564" w:rsidRPr="00B136B9" w:rsidRDefault="00255564" w:rsidP="005D4F14">
      <w:pPr>
        <w:ind w:firstLine="720"/>
        <w:jc w:val="both"/>
        <w:rPr>
          <w:sz w:val="23"/>
          <w:szCs w:val="23"/>
        </w:rPr>
      </w:pPr>
      <w:r w:rsidRPr="00B136B9">
        <w:rPr>
          <w:sz w:val="23"/>
          <w:szCs w:val="23"/>
        </w:rPr>
        <w:t>1.3. už kitos paskirties žemę – 2,5 procento nuo vidutinės žemės rinkos vertės 20</w:t>
      </w:r>
      <w:r w:rsidR="00444BBF" w:rsidRPr="00B136B9">
        <w:rPr>
          <w:sz w:val="23"/>
          <w:szCs w:val="23"/>
        </w:rPr>
        <w:t>20</w:t>
      </w:r>
      <w:r w:rsidRPr="00B136B9">
        <w:rPr>
          <w:sz w:val="23"/>
          <w:szCs w:val="23"/>
        </w:rPr>
        <w:t xml:space="preserve"> m. sausio 1 d. apskaičiuotos pagal žemės verčių žemėlapius. </w:t>
      </w:r>
    </w:p>
    <w:p w14:paraId="09549C8D" w14:textId="77777777" w:rsidR="00255564" w:rsidRPr="00B136B9" w:rsidRDefault="00255564" w:rsidP="005D4F14">
      <w:pPr>
        <w:ind w:firstLine="720"/>
        <w:jc w:val="both"/>
        <w:rPr>
          <w:sz w:val="23"/>
          <w:szCs w:val="23"/>
        </w:rPr>
      </w:pPr>
      <w:r w:rsidRPr="00B136B9">
        <w:rPr>
          <w:sz w:val="23"/>
          <w:szCs w:val="23"/>
        </w:rPr>
        <w:t>2. Nustatyti neapmokestinamą žemės sklypo dydį 20</w:t>
      </w:r>
      <w:r w:rsidR="00444BBF" w:rsidRPr="00B136B9">
        <w:rPr>
          <w:sz w:val="23"/>
          <w:szCs w:val="23"/>
        </w:rPr>
        <w:t>20</w:t>
      </w:r>
      <w:r w:rsidRPr="00B136B9">
        <w:rPr>
          <w:sz w:val="23"/>
          <w:szCs w:val="23"/>
        </w:rPr>
        <w:t xml:space="preserve"> metams valstybinės žemės nuomininkams (naudotojams) – fiziniams asmenims, kurių šeimose mokestinio laikotarpio pradžioje nėra darbingų asmenų ir kuriems nustatytas 0–40 procentų darbingumo lygis arba kurie yra sukakę senatvės pensijos amžių ar yra nepilnamečiai – 0,15 ha kaimo teritorijoje, 0,07 ha – Joniškėlio ir Pasvalio miestuose. Tais atvejais, kai žemės sklypas naudojamas bendrosios nuosavybės teise, nuolaida taikoma kiekvienam bendraturčiui už atitinkamai ne didesnį kaip 0,15 ha sklypą namų valdai kaimo teritorijoje ir 0,07 ha sklypą namų valdai Joniškėlio ir Pasvalio miestų teritorijoje. </w:t>
      </w:r>
    </w:p>
    <w:p w14:paraId="0E067BD5" w14:textId="77777777" w:rsidR="00255564" w:rsidRPr="00B136B9" w:rsidRDefault="00255564" w:rsidP="005D4F14">
      <w:pPr>
        <w:ind w:firstLine="720"/>
        <w:jc w:val="both"/>
        <w:rPr>
          <w:sz w:val="23"/>
          <w:szCs w:val="23"/>
        </w:rPr>
      </w:pPr>
      <w:r w:rsidRPr="00B136B9">
        <w:rPr>
          <w:sz w:val="23"/>
          <w:szCs w:val="23"/>
        </w:rPr>
        <w:t>3. Atleisti nuo nuomos mokesčio už valstybinę žemę visus</w:t>
      </w:r>
      <w:r w:rsidRPr="00B136B9">
        <w:rPr>
          <w:b/>
          <w:sz w:val="23"/>
          <w:szCs w:val="23"/>
        </w:rPr>
        <w:t xml:space="preserve"> </w:t>
      </w:r>
      <w:r w:rsidRPr="00B136B9">
        <w:rPr>
          <w:sz w:val="23"/>
          <w:szCs w:val="23"/>
        </w:rPr>
        <w:t xml:space="preserve">mokėtojus (fizinius ir juridinius asmenis), kurių kalendoriniais metais už visus  nuomojamus iš valstybės žemės sklypus mokėtinas mokestis neviršija </w:t>
      </w:r>
      <w:r w:rsidR="00BB0927" w:rsidRPr="00B136B9">
        <w:rPr>
          <w:sz w:val="23"/>
          <w:szCs w:val="23"/>
        </w:rPr>
        <w:t>2,00</w:t>
      </w:r>
      <w:r w:rsidRPr="00B136B9">
        <w:rPr>
          <w:sz w:val="23"/>
          <w:szCs w:val="23"/>
        </w:rPr>
        <w:t xml:space="preserve"> Eur.</w:t>
      </w:r>
    </w:p>
    <w:p w14:paraId="29C94D1B" w14:textId="77777777" w:rsidR="00444BBF" w:rsidRPr="00B136B9" w:rsidRDefault="00255564" w:rsidP="00444BBF">
      <w:pPr>
        <w:ind w:firstLine="720"/>
        <w:jc w:val="both"/>
        <w:rPr>
          <w:sz w:val="23"/>
          <w:szCs w:val="23"/>
        </w:rPr>
      </w:pPr>
      <w:r w:rsidRPr="00B136B9">
        <w:rPr>
          <w:sz w:val="23"/>
          <w:szCs w:val="23"/>
        </w:rPr>
        <w:t>4</w:t>
      </w:r>
      <w:r w:rsidR="00444BBF" w:rsidRPr="00B136B9">
        <w:rPr>
          <w:sz w:val="23"/>
          <w:szCs w:val="23"/>
        </w:rPr>
        <w:t>.</w:t>
      </w:r>
      <w:r w:rsidRPr="00B136B9">
        <w:rPr>
          <w:sz w:val="23"/>
          <w:szCs w:val="23"/>
        </w:rPr>
        <w:t xml:space="preserve"> </w:t>
      </w:r>
      <w:r w:rsidR="00444BBF" w:rsidRPr="00B136B9">
        <w:rPr>
          <w:sz w:val="23"/>
          <w:szCs w:val="23"/>
        </w:rPr>
        <w:t>Nustatyti, kad nuomos mokesčio už valstybinę žemę nulinis tarifas 2020 m. taikomas:</w:t>
      </w:r>
    </w:p>
    <w:p w14:paraId="2A9FDD86" w14:textId="77777777" w:rsidR="00444BBF" w:rsidRPr="00B136B9" w:rsidRDefault="00444BBF" w:rsidP="00444BBF">
      <w:pPr>
        <w:ind w:firstLine="720"/>
        <w:jc w:val="both"/>
        <w:rPr>
          <w:sz w:val="23"/>
          <w:szCs w:val="23"/>
        </w:rPr>
      </w:pPr>
      <w:r w:rsidRPr="00B136B9">
        <w:rPr>
          <w:sz w:val="23"/>
          <w:szCs w:val="23"/>
        </w:rPr>
        <w:t>4.1. garažų bendrijoms;</w:t>
      </w:r>
    </w:p>
    <w:p w14:paraId="520239EA" w14:textId="77777777" w:rsidR="00444BBF" w:rsidRPr="00B136B9" w:rsidRDefault="00444BBF" w:rsidP="00444BBF">
      <w:pPr>
        <w:ind w:firstLine="720"/>
        <w:jc w:val="both"/>
        <w:rPr>
          <w:sz w:val="23"/>
          <w:szCs w:val="23"/>
        </w:rPr>
      </w:pPr>
      <w:r w:rsidRPr="00B136B9">
        <w:rPr>
          <w:sz w:val="23"/>
          <w:szCs w:val="23"/>
        </w:rPr>
        <w:t>4.2. daugiabučių namų butų savininkų ir bendrijų naudojamai žemei.</w:t>
      </w:r>
    </w:p>
    <w:p w14:paraId="3A74B6DA" w14:textId="77777777" w:rsidR="00255564" w:rsidRPr="00B136B9" w:rsidRDefault="00255564" w:rsidP="005D4F14">
      <w:pPr>
        <w:ind w:firstLine="720"/>
        <w:jc w:val="both"/>
        <w:rPr>
          <w:sz w:val="23"/>
          <w:szCs w:val="23"/>
        </w:rPr>
      </w:pPr>
      <w:r w:rsidRPr="00B136B9">
        <w:rPr>
          <w:sz w:val="23"/>
          <w:szCs w:val="23"/>
        </w:rPr>
        <w:t>5. Netaikyti nuomos mokesčio už valstybinę žemę lengvatų asmenims, turintiems šio mokesčio įsiskolinimą</w:t>
      </w:r>
      <w:r w:rsidR="00E9796F" w:rsidRPr="00B136B9">
        <w:rPr>
          <w:sz w:val="23"/>
          <w:szCs w:val="23"/>
        </w:rPr>
        <w:t xml:space="preserve">, kuris yra didesnis nei </w:t>
      </w:r>
      <w:r w:rsidR="00BB0927" w:rsidRPr="00B136B9">
        <w:rPr>
          <w:sz w:val="23"/>
          <w:szCs w:val="23"/>
        </w:rPr>
        <w:t xml:space="preserve"> 2,00 Eur</w:t>
      </w:r>
      <w:r w:rsidRPr="00B136B9">
        <w:rPr>
          <w:sz w:val="23"/>
          <w:szCs w:val="23"/>
        </w:rPr>
        <w:t xml:space="preserve"> einamųjų metų rugpjūčio 31 dien</w:t>
      </w:r>
      <w:r w:rsidR="00E9796F" w:rsidRPr="00B136B9">
        <w:rPr>
          <w:sz w:val="23"/>
          <w:szCs w:val="23"/>
        </w:rPr>
        <w:t>ai</w:t>
      </w:r>
      <w:r w:rsidRPr="00B136B9">
        <w:rPr>
          <w:sz w:val="23"/>
          <w:szCs w:val="23"/>
        </w:rPr>
        <w:t>.</w:t>
      </w:r>
    </w:p>
    <w:p w14:paraId="2A9791CD" w14:textId="77777777" w:rsidR="00255564" w:rsidRPr="00B136B9" w:rsidRDefault="00255564" w:rsidP="005D4F14">
      <w:pPr>
        <w:ind w:firstLine="720"/>
        <w:jc w:val="both"/>
        <w:rPr>
          <w:sz w:val="23"/>
          <w:szCs w:val="23"/>
        </w:rPr>
      </w:pPr>
      <w:r w:rsidRPr="00B136B9">
        <w:rPr>
          <w:sz w:val="23"/>
          <w:szCs w:val="23"/>
        </w:rPr>
        <w:t xml:space="preserve">6. Nuomos mokestį už valstybinę žemę privalo mokėti neapmokestinamuose sklypuose  </w:t>
      </w:r>
      <w:r w:rsidR="001F4BC6" w:rsidRPr="00B136B9">
        <w:rPr>
          <w:sz w:val="23"/>
          <w:szCs w:val="23"/>
        </w:rPr>
        <w:t>(</w:t>
      </w:r>
      <w:r w:rsidR="000540A7" w:rsidRPr="00B136B9">
        <w:rPr>
          <w:sz w:val="23"/>
          <w:szCs w:val="23"/>
        </w:rPr>
        <w:t xml:space="preserve">daugiabučiuose namuose, daugiabučių namų bendrijose, </w:t>
      </w:r>
      <w:r w:rsidRPr="00B136B9">
        <w:rPr>
          <w:sz w:val="23"/>
          <w:szCs w:val="23"/>
        </w:rPr>
        <w:t>biudžetinėse įstaigose</w:t>
      </w:r>
      <w:r w:rsidR="00BB0927" w:rsidRPr="00B136B9">
        <w:rPr>
          <w:sz w:val="23"/>
          <w:szCs w:val="23"/>
        </w:rPr>
        <w:t>, religinėms bendruomenėms priklausančiuose pastatuose</w:t>
      </w:r>
      <w:r w:rsidRPr="00B136B9">
        <w:rPr>
          <w:sz w:val="23"/>
          <w:szCs w:val="23"/>
        </w:rPr>
        <w:t>) įsikūrusios pelno siekiančios įmonės.</w:t>
      </w:r>
    </w:p>
    <w:p w14:paraId="13C13FB0" w14:textId="77777777" w:rsidR="00255564" w:rsidRPr="00B136B9" w:rsidRDefault="00255564" w:rsidP="004866A1">
      <w:pPr>
        <w:ind w:firstLine="720"/>
        <w:jc w:val="both"/>
        <w:rPr>
          <w:sz w:val="23"/>
          <w:szCs w:val="23"/>
        </w:rPr>
      </w:pPr>
      <w:r w:rsidRPr="00B136B9">
        <w:rPr>
          <w:sz w:val="23"/>
          <w:szCs w:val="23"/>
        </w:rPr>
        <w:t xml:space="preserve">7. Fiziniams ir juridiniams asmenims, nutraukus valstybinės žemės nuomos sutartį ir turintiems įsiskolinimą už valstybinės žemės naudojimą iki </w:t>
      </w:r>
      <w:r w:rsidR="00BB0927" w:rsidRPr="00B136B9">
        <w:rPr>
          <w:sz w:val="23"/>
          <w:szCs w:val="23"/>
        </w:rPr>
        <w:t>2,00</w:t>
      </w:r>
      <w:r w:rsidRPr="00B136B9">
        <w:rPr>
          <w:sz w:val="23"/>
          <w:szCs w:val="23"/>
        </w:rPr>
        <w:t xml:space="preserve"> Eur, panaikinti mokestinę prievolę šiam įsiskolinimui.            </w:t>
      </w:r>
    </w:p>
    <w:p w14:paraId="77B51116" w14:textId="77777777" w:rsidR="00255564" w:rsidRPr="00B136B9" w:rsidRDefault="00255564" w:rsidP="001E702C">
      <w:pPr>
        <w:jc w:val="both"/>
        <w:rPr>
          <w:sz w:val="23"/>
          <w:szCs w:val="23"/>
        </w:rPr>
      </w:pPr>
      <w:r w:rsidRPr="00B136B9">
        <w:rPr>
          <w:sz w:val="23"/>
          <w:szCs w:val="23"/>
        </w:rPr>
        <w:t xml:space="preserve">     </w:t>
      </w:r>
      <w:r w:rsidR="00FE0026" w:rsidRPr="00B136B9">
        <w:rPr>
          <w:sz w:val="23"/>
          <w:szCs w:val="23"/>
        </w:rPr>
        <w:t xml:space="preserve">       </w:t>
      </w:r>
      <w:r w:rsidRPr="00B136B9">
        <w:rPr>
          <w:sz w:val="23"/>
          <w:szCs w:val="23"/>
        </w:rPr>
        <w:t xml:space="preserve"> </w:t>
      </w:r>
      <w:r w:rsidR="00215674" w:rsidRPr="00B136B9">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14:paraId="785D6423" w14:textId="77777777" w:rsidR="00092F40" w:rsidRPr="00B136B9" w:rsidRDefault="00092F40" w:rsidP="005D4F14">
      <w:pPr>
        <w:pStyle w:val="Antrats"/>
        <w:spacing w:line="360" w:lineRule="auto"/>
        <w:jc w:val="both"/>
        <w:rPr>
          <w:sz w:val="23"/>
          <w:szCs w:val="23"/>
        </w:rPr>
      </w:pPr>
    </w:p>
    <w:p w14:paraId="31D78954" w14:textId="77777777" w:rsidR="00255564" w:rsidRPr="00B136B9" w:rsidRDefault="00255564" w:rsidP="005D4F14">
      <w:pPr>
        <w:pStyle w:val="Antrats"/>
        <w:spacing w:line="360" w:lineRule="auto"/>
        <w:jc w:val="both"/>
        <w:rPr>
          <w:sz w:val="23"/>
          <w:szCs w:val="23"/>
        </w:rPr>
      </w:pPr>
      <w:r w:rsidRPr="00B136B9">
        <w:rPr>
          <w:sz w:val="23"/>
          <w:szCs w:val="23"/>
        </w:rPr>
        <w:t xml:space="preserve">Savivaldybės meras                                                                                     </w:t>
      </w:r>
    </w:p>
    <w:p w14:paraId="34BC23AC" w14:textId="77777777" w:rsidR="00092F40" w:rsidRDefault="00092F40" w:rsidP="005D4F14">
      <w:pPr>
        <w:pStyle w:val="Antrats"/>
        <w:tabs>
          <w:tab w:val="clear" w:pos="4153"/>
          <w:tab w:val="clear" w:pos="8306"/>
        </w:tabs>
        <w:jc w:val="both"/>
      </w:pPr>
    </w:p>
    <w:p w14:paraId="64D9A85C" w14:textId="77777777" w:rsidR="00B136B9" w:rsidRPr="00B136B9" w:rsidRDefault="00092F40" w:rsidP="00B136B9">
      <w:pPr>
        <w:pStyle w:val="Antrats"/>
        <w:tabs>
          <w:tab w:val="clear" w:pos="4153"/>
          <w:tab w:val="clear" w:pos="8306"/>
        </w:tabs>
        <w:jc w:val="both"/>
        <w:rPr>
          <w:sz w:val="20"/>
        </w:rPr>
      </w:pPr>
      <w:r w:rsidRPr="00B136B9">
        <w:rPr>
          <w:sz w:val="20"/>
        </w:rPr>
        <w:t>P</w:t>
      </w:r>
      <w:r w:rsidR="00255564" w:rsidRPr="00B136B9">
        <w:rPr>
          <w:sz w:val="20"/>
        </w:rPr>
        <w:t>arengė</w:t>
      </w:r>
      <w:r w:rsidR="00B136B9">
        <w:rPr>
          <w:sz w:val="20"/>
        </w:rPr>
        <w:t xml:space="preserve"> </w:t>
      </w:r>
      <w:r w:rsidR="00B136B9" w:rsidRPr="00B136B9">
        <w:rPr>
          <w:sz w:val="20"/>
        </w:rPr>
        <w:t>Finansų skyriaus vedėja</w:t>
      </w:r>
      <w:r w:rsidR="00B136B9">
        <w:rPr>
          <w:sz w:val="20"/>
        </w:rPr>
        <w:t xml:space="preserve"> </w:t>
      </w:r>
      <w:r w:rsidR="00B136B9" w:rsidRPr="00B136B9">
        <w:rPr>
          <w:sz w:val="20"/>
        </w:rPr>
        <w:t>Dalė Petrėnienė</w:t>
      </w:r>
    </w:p>
    <w:p w14:paraId="43765747" w14:textId="77777777" w:rsidR="00255564" w:rsidRDefault="001F4BC6">
      <w:r>
        <w:lastRenderedPageBreak/>
        <w:t>P</w:t>
      </w:r>
      <w:r w:rsidR="00255564">
        <w:t>asvalio rajono savivaldybės tarybai</w:t>
      </w:r>
    </w:p>
    <w:p w14:paraId="2DFF2452" w14:textId="77777777" w:rsidR="00255564" w:rsidRDefault="00255564"/>
    <w:p w14:paraId="30213C5A" w14:textId="6E407550" w:rsidR="00255564" w:rsidRDefault="00255564">
      <w:pPr>
        <w:jc w:val="center"/>
        <w:rPr>
          <w:b/>
        </w:rPr>
      </w:pPr>
      <w:r>
        <w:rPr>
          <w:b/>
        </w:rPr>
        <w:t>AIŠKINAMASIS RAŠTAS</w:t>
      </w:r>
    </w:p>
    <w:p w14:paraId="06150504" w14:textId="77777777" w:rsidR="00255564" w:rsidRDefault="00255564">
      <w:pPr>
        <w:jc w:val="center"/>
        <w:rPr>
          <w:b/>
        </w:rPr>
      </w:pPr>
    </w:p>
    <w:p w14:paraId="6F6E2665" w14:textId="77777777" w:rsidR="00255564" w:rsidRDefault="00255564">
      <w:pPr>
        <w:jc w:val="center"/>
        <w:rPr>
          <w:b/>
        </w:rPr>
      </w:pPr>
      <w:r>
        <w:rPr>
          <w:b/>
          <w:bCs/>
          <w:caps/>
        </w:rPr>
        <w:t>Dėl 20</w:t>
      </w:r>
      <w:r w:rsidR="00444BBF">
        <w:rPr>
          <w:b/>
          <w:bCs/>
          <w:caps/>
        </w:rPr>
        <w:t>20</w:t>
      </w:r>
      <w:r>
        <w:rPr>
          <w:b/>
          <w:bCs/>
          <w:caps/>
        </w:rPr>
        <w:t xml:space="preserve"> METŲ  nuomos mokesčio už valstybinę žemę tarifų ir lengvatų nustatymo</w:t>
      </w:r>
    </w:p>
    <w:p w14:paraId="6FC3D684" w14:textId="77777777" w:rsidR="00255564" w:rsidRDefault="00255564">
      <w:pPr>
        <w:jc w:val="center"/>
        <w:rPr>
          <w:b/>
        </w:rPr>
      </w:pPr>
    </w:p>
    <w:p w14:paraId="47098076" w14:textId="77777777" w:rsidR="00255564" w:rsidRDefault="00255564">
      <w:pPr>
        <w:jc w:val="center"/>
        <w:rPr>
          <w:b/>
        </w:rPr>
      </w:pPr>
      <w:r>
        <w:rPr>
          <w:b/>
        </w:rPr>
        <w:t>20</w:t>
      </w:r>
      <w:r w:rsidR="00444BBF">
        <w:rPr>
          <w:b/>
        </w:rPr>
        <w:t>20</w:t>
      </w:r>
      <w:r>
        <w:rPr>
          <w:b/>
        </w:rPr>
        <w:t>-0</w:t>
      </w:r>
      <w:r w:rsidR="00444BBF">
        <w:rPr>
          <w:b/>
        </w:rPr>
        <w:t>7</w:t>
      </w:r>
      <w:r>
        <w:rPr>
          <w:b/>
        </w:rPr>
        <w:t>-</w:t>
      </w:r>
      <w:r w:rsidR="00444BBF">
        <w:rPr>
          <w:b/>
        </w:rPr>
        <w:t>10</w:t>
      </w:r>
    </w:p>
    <w:p w14:paraId="5292081B" w14:textId="77777777" w:rsidR="00255564" w:rsidRDefault="00255564" w:rsidP="00632B91">
      <w:pPr>
        <w:jc w:val="center"/>
      </w:pPr>
      <w:r>
        <w:t>Pasvalys</w:t>
      </w:r>
    </w:p>
    <w:p w14:paraId="474DDA76" w14:textId="77777777" w:rsidR="00255564" w:rsidRDefault="00255564" w:rsidP="00632B91">
      <w:pPr>
        <w:jc w:val="center"/>
      </w:pPr>
    </w:p>
    <w:p w14:paraId="10C2B4DD" w14:textId="77777777" w:rsidR="00255564" w:rsidRDefault="00255564" w:rsidP="00D263B2">
      <w:pPr>
        <w:tabs>
          <w:tab w:val="left" w:pos="3339"/>
        </w:tabs>
        <w:jc w:val="both"/>
      </w:pPr>
      <w:r>
        <w:rPr>
          <w:b/>
          <w:szCs w:val="24"/>
        </w:rPr>
        <w:t xml:space="preserve">           1. Problemos esmė.</w:t>
      </w:r>
      <w:r>
        <w:t xml:space="preserve"> </w:t>
      </w:r>
      <w:r w:rsidRPr="00541868">
        <w:t>Lietuvos Respublikos Vyriausybės 2002 m. lapkričio 19 d. nutarimu Nr. 1798 „Dėl nuomos mokesčio už valstybinę žemę</w:t>
      </w:r>
      <w:r>
        <w:t>“,</w:t>
      </w:r>
      <w:r w:rsidRPr="00541868">
        <w:t xml:space="preserve"> Lietuvos Respublikos Vyriausybės 2003 m. lapkričio 10 d. nutarimu Nr. 1387 „Dėl žemės nuomos mokesčio už valstybinės žemės sklypų naudojimą</w:t>
      </w:r>
      <w:r>
        <w:t>“ nurodyta, kad konkretų nuomos mokesčio už valstybinę žemę, išnuomotą ne aukciono būdu, tarifą nustato savivaldybės, kurios teritorijoje yra išnuomojama valstybinė žemė. Teikiamame svarstyti sprendimo projekte nuomos mokesčio tarifai  už valstybinę žemę (išnuomotą ne aukciono būdu) 20</w:t>
      </w:r>
      <w:r w:rsidR="001D28D0">
        <w:t>20</w:t>
      </w:r>
      <w:r>
        <w:t xml:space="preserve"> metams siūlomi: žemės ūkio paskirties – 4,0 proc., už namų valdos žemę – 1,5 proc., kitos paskirties žemę – 2,5 proc. žemės rinkos vertės apskaičiuotos pagal žemės verčių žemėlapius. Šie mokesčio tarifai Savivaldybės teritorijoje galiojo ir 201</w:t>
      </w:r>
      <w:r w:rsidR="000B72CD">
        <w:t>9</w:t>
      </w:r>
      <w:r>
        <w:t xml:space="preserve"> metais. Žemės nuomos mokesčio tarifo intervalas, nustatytas  Lietuvos Respublikos Vyriausybės  2002 m. lapkričio 19 d. nutarimu Nr. 1798 „Dėl nuomos mokesčio už valstybinę žemę“, negali būti mažesnis nei 0,1 procento ir didesnis kaip  4 procentai žemės vertės. </w:t>
      </w:r>
      <w:r w:rsidR="00867300">
        <w:t xml:space="preserve">        </w:t>
      </w:r>
    </w:p>
    <w:p w14:paraId="18A14D84" w14:textId="77777777" w:rsidR="00255564" w:rsidRDefault="00255564" w:rsidP="004C2887">
      <w:pPr>
        <w:jc w:val="both"/>
      </w:pPr>
      <w:r>
        <w:t xml:space="preserve">             Sprendimo projekte siūloma n</w:t>
      </w:r>
      <w:r w:rsidRPr="00541868">
        <w:t>ustatyti neapmokestinamą žemės sklypo dydį</w:t>
      </w:r>
      <w:r>
        <w:t xml:space="preserve"> 20</w:t>
      </w:r>
      <w:r w:rsidR="001362DD">
        <w:t>20</w:t>
      </w:r>
      <w:r>
        <w:t xml:space="preserve"> metams </w:t>
      </w:r>
      <w:r w:rsidRPr="00541868">
        <w:t xml:space="preserve">valstybinės žemės nuomininkams (naudotojams) – </w:t>
      </w:r>
      <w:r>
        <w:t xml:space="preserve">fiziniams asmenims, kurių šeimose mokestinio laikotarpio pradžioje nėra darbingų asmenų ir kuriems nustatytas 0–40 procentų darbingumo lygis arba kurie yra sukakę </w:t>
      </w:r>
      <w:r w:rsidRPr="00541868">
        <w:t>senatvės pensi</w:t>
      </w:r>
      <w:r>
        <w:t xml:space="preserve">jos amžių ar yra </w:t>
      </w:r>
      <w:r w:rsidRPr="00541868">
        <w:t>nepilnamečia</w:t>
      </w:r>
      <w:r>
        <w:t>i</w:t>
      </w:r>
      <w:r w:rsidRPr="00541868">
        <w:t xml:space="preserve"> </w:t>
      </w:r>
      <w:r w:rsidRPr="006E272E">
        <w:t xml:space="preserve"> </w:t>
      </w:r>
      <w:r>
        <w:t>–</w:t>
      </w:r>
      <w:r w:rsidRPr="006E272E">
        <w:t xml:space="preserve"> 0,</w:t>
      </w:r>
      <w:r>
        <w:t>15</w:t>
      </w:r>
      <w:r w:rsidRPr="006E272E">
        <w:t xml:space="preserve"> ha kaimo teritorijoje, 0,</w:t>
      </w:r>
      <w:r>
        <w:t>07</w:t>
      </w:r>
      <w:r w:rsidRPr="006E272E">
        <w:t xml:space="preserve"> ha – Joniškėlio ir Pasvalio miestuose</w:t>
      </w:r>
      <w:r>
        <w:t>.</w:t>
      </w:r>
      <w:r w:rsidRPr="00541868">
        <w:t xml:space="preserve"> Tais atvejais, kai žemės sklypas naudojamas bendrosios nuosavybės teise, nuolaida taikoma kiekvienam bendraturčiui už atitinkamai ne didesnį kaip 0,</w:t>
      </w:r>
      <w:r>
        <w:t>15</w:t>
      </w:r>
      <w:r w:rsidRPr="00541868">
        <w:t xml:space="preserve"> ha sklypą namų valdai</w:t>
      </w:r>
      <w:r>
        <w:t xml:space="preserve"> kaimo teritorijoje ir 0,07 ha </w:t>
      </w:r>
      <w:r w:rsidRPr="00541868">
        <w:t>sklypą namų valdai</w:t>
      </w:r>
      <w:r>
        <w:t xml:space="preserve"> Joniškėlio ir Pasvalio miestų teritorijoje. </w:t>
      </w:r>
    </w:p>
    <w:p w14:paraId="7F278283" w14:textId="77777777" w:rsidR="001362DD" w:rsidRDefault="001362DD" w:rsidP="000B72CD">
      <w:pPr>
        <w:jc w:val="both"/>
      </w:pPr>
      <w:r>
        <w:t xml:space="preserve">           2020 metams siūloma taikyti nulinį tarifą </w:t>
      </w:r>
      <w:r w:rsidR="0032355A" w:rsidRPr="008C1EE4">
        <w:t xml:space="preserve">daugiabučių namų </w:t>
      </w:r>
      <w:r w:rsidR="0032355A">
        <w:t xml:space="preserve">butų </w:t>
      </w:r>
      <w:r w:rsidR="0032355A" w:rsidRPr="008C1EE4">
        <w:t xml:space="preserve">savininkų </w:t>
      </w:r>
      <w:r w:rsidR="0032355A">
        <w:t xml:space="preserve">ir </w:t>
      </w:r>
      <w:r w:rsidR="0032355A" w:rsidRPr="008C1EE4">
        <w:t>bendrijų naudojam</w:t>
      </w:r>
      <w:r w:rsidR="0032355A">
        <w:t>ai</w:t>
      </w:r>
      <w:r w:rsidR="0032355A" w:rsidRPr="008C1EE4">
        <w:t xml:space="preserve"> žem</w:t>
      </w:r>
      <w:r w:rsidR="0032355A">
        <w:t xml:space="preserve">ei, nes administravimo kaštai didesni nei surenkama šio mokesčio. </w:t>
      </w:r>
    </w:p>
    <w:p w14:paraId="29C6D952" w14:textId="77777777" w:rsidR="000B72CD" w:rsidRDefault="000B72CD" w:rsidP="000B72CD">
      <w:pPr>
        <w:jc w:val="both"/>
      </w:pPr>
      <w:r>
        <w:t xml:space="preserve">           Daugiabučiai namai, kuriems nėra suformuotas žemės sklypas, apmokestinami  pagal Nekilnojamojo turto registre nurodytą užstatytą namo plotą. </w:t>
      </w:r>
      <w:r w:rsidR="000721D1">
        <w:t>2019 metais buvo a</w:t>
      </w:r>
      <w:r>
        <w:t>pmokestintos 64 daugiabučių namų bendrijos</w:t>
      </w:r>
      <w:r w:rsidR="000721D1">
        <w:t xml:space="preserve">. Priskaičiuota mokesčio suma </w:t>
      </w:r>
      <w:r>
        <w:t xml:space="preserve"> - 1976,07 </w:t>
      </w:r>
      <w:r w:rsidR="000721D1">
        <w:t>E</w:t>
      </w:r>
      <w:r>
        <w:t>ur</w:t>
      </w:r>
      <w:r w:rsidR="000721D1">
        <w:t>, i</w:t>
      </w:r>
      <w:r>
        <w:t>š jų 2 mokėti nereikia (</w:t>
      </w:r>
      <w:r w:rsidR="000721D1">
        <w:t xml:space="preserve">mokesčio suma </w:t>
      </w:r>
      <w:r>
        <w:t xml:space="preserve">iki 2 eurų). </w:t>
      </w:r>
    </w:p>
    <w:p w14:paraId="4C8BF0D6" w14:textId="77777777" w:rsidR="000B72CD" w:rsidRDefault="000721D1" w:rsidP="000B72CD">
      <w:pPr>
        <w:jc w:val="both"/>
      </w:pPr>
      <w:r>
        <w:t xml:space="preserve">            2019 metais buvo apmokestint</w:t>
      </w:r>
      <w:r w:rsidR="00092F40">
        <w:t>i</w:t>
      </w:r>
      <w:r>
        <w:t xml:space="preserve"> 284 daugiabučiai namai. </w:t>
      </w:r>
      <w:r w:rsidR="000B72CD">
        <w:t>Buto savininkui priklausanti bendrosios dalinės nuosavybės dalis yra lygi jam nuosavybės teise priklausančių patalpų naudingojo ploto ir gyvenamojo namo naudingojo ploto santykiui. Proporcingai paskirsčius pagal daugiabučio gyvenamojo namo naudojamą žemę ir butų savininkų turimą dalį iš rajono visų daugiabučių namų tik 256 butų savininkai buvo apmokestinti. Pritaikius lengvatas</w:t>
      </w:r>
      <w:r>
        <w:t>, nurodytas sprendimo projekto 2 punkte.</w:t>
      </w:r>
      <w:r w:rsidR="000B72CD">
        <w:t xml:space="preserve"> 137 savininkams mokėti nereikia. Iš likusių 119 savininkų surinkta 280 Eur.</w:t>
      </w:r>
    </w:p>
    <w:p w14:paraId="2FA3179D" w14:textId="77777777" w:rsidR="000B72CD" w:rsidRDefault="000B72CD" w:rsidP="000B72CD">
      <w:pPr>
        <w:jc w:val="both"/>
      </w:pPr>
      <w:r>
        <w:t xml:space="preserve">Pavz. </w:t>
      </w:r>
    </w:p>
    <w:tbl>
      <w:tblPr>
        <w:tblStyle w:val="Lentelstinklelis"/>
        <w:tblW w:w="0" w:type="auto"/>
        <w:tblLook w:val="04A0" w:firstRow="1" w:lastRow="0" w:firstColumn="1" w:lastColumn="0" w:noHBand="0" w:noVBand="1"/>
      </w:tblPr>
      <w:tblGrid>
        <w:gridCol w:w="2559"/>
        <w:gridCol w:w="1529"/>
        <w:gridCol w:w="1212"/>
        <w:gridCol w:w="1548"/>
        <w:gridCol w:w="2780"/>
      </w:tblGrid>
      <w:tr w:rsidR="00092F40" w14:paraId="35187E93" w14:textId="77777777" w:rsidTr="00BA5CE2">
        <w:tc>
          <w:tcPr>
            <w:tcW w:w="2599" w:type="dxa"/>
          </w:tcPr>
          <w:p w14:paraId="1ECD9BA8" w14:textId="77777777" w:rsidR="000B72CD" w:rsidRDefault="000B72CD" w:rsidP="00BA5CE2">
            <w:r>
              <w:t>Adresas</w:t>
            </w:r>
          </w:p>
        </w:tc>
        <w:tc>
          <w:tcPr>
            <w:tcW w:w="1420" w:type="dxa"/>
          </w:tcPr>
          <w:p w14:paraId="50D949A8" w14:textId="77777777" w:rsidR="000B72CD" w:rsidRDefault="000B72CD" w:rsidP="00BA5CE2">
            <w:r>
              <w:t>Buto plotas paskaičiuotas arais</w:t>
            </w:r>
          </w:p>
        </w:tc>
        <w:tc>
          <w:tcPr>
            <w:tcW w:w="1221" w:type="dxa"/>
          </w:tcPr>
          <w:p w14:paraId="3AEB92C4" w14:textId="77777777" w:rsidR="000B72CD" w:rsidRDefault="000B72CD" w:rsidP="00BA5CE2">
            <w:r>
              <w:t xml:space="preserve">Buto vertė, </w:t>
            </w:r>
            <w:r w:rsidR="00092F40">
              <w:t>E</w:t>
            </w:r>
            <w:r>
              <w:t>ur</w:t>
            </w:r>
          </w:p>
        </w:tc>
        <w:tc>
          <w:tcPr>
            <w:tcW w:w="1559" w:type="dxa"/>
          </w:tcPr>
          <w:p w14:paraId="7A6A2FC8" w14:textId="77777777" w:rsidR="000B72CD" w:rsidRDefault="000B72CD" w:rsidP="00BA5CE2">
            <w:r>
              <w:t xml:space="preserve">Mokesčio suma, </w:t>
            </w:r>
            <w:r w:rsidR="00092F40">
              <w:t>E</w:t>
            </w:r>
            <w:r>
              <w:t>ur</w:t>
            </w:r>
          </w:p>
        </w:tc>
        <w:tc>
          <w:tcPr>
            <w:tcW w:w="2829" w:type="dxa"/>
          </w:tcPr>
          <w:p w14:paraId="56B80FE7" w14:textId="77777777" w:rsidR="000B72CD" w:rsidRDefault="000B72CD" w:rsidP="00BA5CE2">
            <w:r>
              <w:t>Pastabos</w:t>
            </w:r>
          </w:p>
          <w:p w14:paraId="6E4701AF" w14:textId="77777777" w:rsidR="000B72CD" w:rsidRDefault="000B72CD" w:rsidP="00BA5CE2"/>
        </w:tc>
      </w:tr>
      <w:tr w:rsidR="00092F40" w14:paraId="623669AE" w14:textId="77777777" w:rsidTr="00BA5CE2">
        <w:tc>
          <w:tcPr>
            <w:tcW w:w="2599" w:type="dxa"/>
          </w:tcPr>
          <w:p w14:paraId="07BCABBE" w14:textId="77777777" w:rsidR="000B72CD" w:rsidRDefault="000B72CD" w:rsidP="00BA5CE2">
            <w:r>
              <w:t xml:space="preserve">Panevėžio g. , </w:t>
            </w:r>
          </w:p>
        </w:tc>
        <w:tc>
          <w:tcPr>
            <w:tcW w:w="1420" w:type="dxa"/>
          </w:tcPr>
          <w:p w14:paraId="6C153F6F" w14:textId="77777777" w:rsidR="000B72CD" w:rsidRDefault="000B72CD" w:rsidP="00BA5CE2">
            <w:r>
              <w:t>0,0015</w:t>
            </w:r>
          </w:p>
        </w:tc>
        <w:tc>
          <w:tcPr>
            <w:tcW w:w="1221" w:type="dxa"/>
          </w:tcPr>
          <w:p w14:paraId="062F73FF" w14:textId="77777777" w:rsidR="000B72CD" w:rsidRDefault="000B72CD" w:rsidP="00BA5CE2">
            <w:r>
              <w:t>67,50</w:t>
            </w:r>
          </w:p>
        </w:tc>
        <w:tc>
          <w:tcPr>
            <w:tcW w:w="1559" w:type="dxa"/>
          </w:tcPr>
          <w:p w14:paraId="6581BC0D" w14:textId="77777777" w:rsidR="000B72CD" w:rsidRDefault="000B72CD" w:rsidP="00BA5CE2">
            <w:r>
              <w:t>1,01</w:t>
            </w:r>
          </w:p>
        </w:tc>
        <w:tc>
          <w:tcPr>
            <w:tcW w:w="2829" w:type="dxa"/>
          </w:tcPr>
          <w:p w14:paraId="3D182453" w14:textId="77777777" w:rsidR="000B72CD" w:rsidRDefault="000B72CD" w:rsidP="00BA5CE2">
            <w:r>
              <w:t xml:space="preserve">Mokėti nereikia, nes iki 2 </w:t>
            </w:r>
            <w:r w:rsidR="00092F40">
              <w:t>E</w:t>
            </w:r>
            <w:r>
              <w:t>ur</w:t>
            </w:r>
          </w:p>
        </w:tc>
      </w:tr>
      <w:tr w:rsidR="00092F40" w14:paraId="2D1BAE26" w14:textId="77777777" w:rsidTr="00BA5CE2">
        <w:tc>
          <w:tcPr>
            <w:tcW w:w="2599" w:type="dxa"/>
          </w:tcPr>
          <w:p w14:paraId="5C8116C5" w14:textId="77777777" w:rsidR="000B72CD" w:rsidRDefault="000B72CD" w:rsidP="00BA5CE2">
            <w:r>
              <w:t xml:space="preserve">Panevėžio g. </w:t>
            </w:r>
          </w:p>
        </w:tc>
        <w:tc>
          <w:tcPr>
            <w:tcW w:w="1420" w:type="dxa"/>
          </w:tcPr>
          <w:p w14:paraId="5F53663F" w14:textId="77777777" w:rsidR="000B72CD" w:rsidRDefault="000B72CD" w:rsidP="00BA5CE2">
            <w:r>
              <w:t>0,003</w:t>
            </w:r>
          </w:p>
        </w:tc>
        <w:tc>
          <w:tcPr>
            <w:tcW w:w="1221" w:type="dxa"/>
          </w:tcPr>
          <w:p w14:paraId="1D866132" w14:textId="77777777" w:rsidR="000B72CD" w:rsidRDefault="000B72CD" w:rsidP="00BA5CE2">
            <w:r>
              <w:t>135,00</w:t>
            </w:r>
          </w:p>
        </w:tc>
        <w:tc>
          <w:tcPr>
            <w:tcW w:w="1559" w:type="dxa"/>
          </w:tcPr>
          <w:p w14:paraId="474B7AA1" w14:textId="77777777" w:rsidR="000B72CD" w:rsidRDefault="000B72CD" w:rsidP="00BA5CE2">
            <w:r>
              <w:t>2,02</w:t>
            </w:r>
          </w:p>
        </w:tc>
        <w:tc>
          <w:tcPr>
            <w:tcW w:w="2829" w:type="dxa"/>
          </w:tcPr>
          <w:p w14:paraId="35AC468F" w14:textId="77777777" w:rsidR="000B72CD" w:rsidRDefault="000B72CD" w:rsidP="00BA5CE2">
            <w:r>
              <w:t xml:space="preserve">Mokėti nereikia, nes </w:t>
            </w:r>
            <w:r w:rsidR="00092F40">
              <w:t>senatvės pensija</w:t>
            </w:r>
          </w:p>
        </w:tc>
      </w:tr>
    </w:tbl>
    <w:p w14:paraId="19F4A540" w14:textId="77777777" w:rsidR="000B72CD" w:rsidRDefault="000B72CD" w:rsidP="000B72CD"/>
    <w:p w14:paraId="597439A0" w14:textId="77777777" w:rsidR="000B72CD" w:rsidRDefault="000B72CD" w:rsidP="004C2887">
      <w:pPr>
        <w:jc w:val="both"/>
      </w:pPr>
    </w:p>
    <w:p w14:paraId="5AD3A3DD" w14:textId="77777777" w:rsidR="00255564" w:rsidRPr="00674EF0" w:rsidRDefault="00255564" w:rsidP="004866A1">
      <w:pPr>
        <w:tabs>
          <w:tab w:val="left" w:pos="3339"/>
        </w:tabs>
        <w:jc w:val="both"/>
      </w:pPr>
      <w:r>
        <w:lastRenderedPageBreak/>
        <w:t xml:space="preserve">           201</w:t>
      </w:r>
      <w:r w:rsidR="000721D1">
        <w:t>9</w:t>
      </w:r>
      <w:r>
        <w:t xml:space="preserve"> metais į Savivaldybės biudžetą įplaukė </w:t>
      </w:r>
      <w:r w:rsidR="00092F40">
        <w:t>480,8</w:t>
      </w:r>
      <w:r>
        <w:t xml:space="preserve"> tūkst. Eur  žemės nuomos mokesčio.  </w:t>
      </w:r>
      <w:r w:rsidRPr="003176F2">
        <w:rPr>
          <w:color w:val="FF0000"/>
        </w:rPr>
        <w:t xml:space="preserve">          </w:t>
      </w:r>
    </w:p>
    <w:p w14:paraId="04422EFA" w14:textId="77777777" w:rsidR="00255564" w:rsidRDefault="00255564">
      <w:pPr>
        <w:ind w:left="720"/>
        <w:jc w:val="both"/>
        <w:rPr>
          <w:b/>
          <w:bCs/>
          <w:szCs w:val="24"/>
        </w:rPr>
      </w:pPr>
      <w:r>
        <w:rPr>
          <w:b/>
          <w:bCs/>
          <w:szCs w:val="24"/>
        </w:rPr>
        <w:t>2. Kokios siūlomos naujos teisinio reguliavimo nuostatos ir kokių  rezultatų laukiama</w:t>
      </w:r>
    </w:p>
    <w:p w14:paraId="7A10F08D" w14:textId="77777777" w:rsidR="00255564" w:rsidRPr="004C2887" w:rsidRDefault="00255564" w:rsidP="00F07D07">
      <w:pPr>
        <w:jc w:val="both"/>
        <w:rPr>
          <w:bCs/>
          <w:i/>
          <w:color w:val="FF0000"/>
          <w:szCs w:val="24"/>
        </w:rPr>
      </w:pPr>
      <w:r>
        <w:rPr>
          <w:b/>
          <w:bCs/>
          <w:szCs w:val="24"/>
        </w:rPr>
        <w:t xml:space="preserve">            </w:t>
      </w:r>
      <w:r w:rsidRPr="004C2887">
        <w:rPr>
          <w:szCs w:val="24"/>
          <w:lang w:eastAsia="zh-CN"/>
        </w:rPr>
        <w:t>Žemės mokesčio tarifas  nustatomas kiekvienais metais. Jeigu minėto mokesčio tarifas nebus nustatytas,  bus taikomas minimalus 0,01 procento tarifas</w:t>
      </w:r>
      <w:r>
        <w:rPr>
          <w:szCs w:val="24"/>
          <w:lang w:eastAsia="zh-CN"/>
        </w:rPr>
        <w:t>.</w:t>
      </w:r>
      <w:r w:rsidRPr="004C2887">
        <w:rPr>
          <w:bCs/>
          <w:i/>
          <w:color w:val="FF0000"/>
          <w:szCs w:val="24"/>
        </w:rPr>
        <w:t xml:space="preserve"> </w:t>
      </w:r>
    </w:p>
    <w:p w14:paraId="76E95937" w14:textId="77777777" w:rsidR="00255564" w:rsidRDefault="00255564">
      <w:pPr>
        <w:ind w:firstLine="720"/>
        <w:jc w:val="both"/>
        <w:rPr>
          <w:i/>
          <w:szCs w:val="24"/>
        </w:rPr>
      </w:pPr>
      <w:r>
        <w:rPr>
          <w:i/>
          <w:szCs w:val="24"/>
        </w:rPr>
        <w:t>Priimtas sprendimo  projektas įtakos kriminogeninei situacijai ir korupcijai neturės. </w:t>
      </w:r>
    </w:p>
    <w:p w14:paraId="711086E4" w14:textId="77777777" w:rsidR="00255564" w:rsidRDefault="0025556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213D908" w14:textId="77777777" w:rsidR="00255564" w:rsidRDefault="00255564">
      <w:pPr>
        <w:ind w:firstLine="720"/>
        <w:jc w:val="both"/>
        <w:rPr>
          <w:i/>
          <w:szCs w:val="24"/>
          <w:lang w:eastAsia="lt-LT"/>
        </w:rPr>
      </w:pPr>
      <w:r w:rsidRPr="0014297C">
        <w:rPr>
          <w:i/>
          <w:color w:val="000000"/>
          <w:szCs w:val="24"/>
          <w:lang w:eastAsia="lt-LT"/>
        </w:rPr>
        <w:t>Sprendimo projekto įgyvendinimui lėšų nereikia.</w:t>
      </w:r>
    </w:p>
    <w:p w14:paraId="6E79D9A7" w14:textId="77777777" w:rsidR="00255564" w:rsidRDefault="00255564">
      <w:pPr>
        <w:ind w:firstLine="731"/>
        <w:jc w:val="both"/>
        <w:rPr>
          <w:b/>
          <w:bCs/>
          <w:szCs w:val="24"/>
        </w:rPr>
      </w:pPr>
      <w:r>
        <w:rPr>
          <w:b/>
          <w:bCs/>
          <w:szCs w:val="24"/>
        </w:rPr>
        <w:t xml:space="preserve">4. Numatomo teisinio reguliavimo poveikio vertinimo rezultatai. </w:t>
      </w:r>
    </w:p>
    <w:p w14:paraId="539FBC06" w14:textId="77777777" w:rsidR="00255564" w:rsidRDefault="00255564">
      <w:pPr>
        <w:ind w:firstLine="731"/>
        <w:jc w:val="both"/>
        <w:rPr>
          <w:i/>
          <w:szCs w:val="24"/>
        </w:rPr>
      </w:pPr>
      <w:r>
        <w:rPr>
          <w:i/>
          <w:szCs w:val="24"/>
        </w:rPr>
        <w:t xml:space="preserve"> Priėmus sprendimo  projektą, neigiamų pasekmių nenumatoma.</w:t>
      </w:r>
    </w:p>
    <w:p w14:paraId="31FD22CC" w14:textId="77777777" w:rsidR="00255564" w:rsidRDefault="00255564">
      <w:pPr>
        <w:ind w:firstLine="731"/>
        <w:jc w:val="both"/>
        <w:rPr>
          <w:b/>
          <w:bCs/>
          <w:szCs w:val="24"/>
        </w:rPr>
      </w:pPr>
      <w:r>
        <w:rPr>
          <w:b/>
          <w:bCs/>
          <w:szCs w:val="24"/>
        </w:rPr>
        <w:t>5. Jeigu sprendimui  įgyvendinti reikia įgyvendinamųjų teisės aktų, – kas ir kada juos turėtų priimti.</w:t>
      </w:r>
    </w:p>
    <w:p w14:paraId="572CC62C" w14:textId="77777777" w:rsidR="00255564" w:rsidRDefault="00255564" w:rsidP="00F07D07">
      <w:pPr>
        <w:ind w:firstLine="720"/>
        <w:jc w:val="both"/>
        <w:rPr>
          <w:szCs w:val="24"/>
        </w:rPr>
      </w:pPr>
      <w:r>
        <w:rPr>
          <w:b/>
          <w:szCs w:val="24"/>
        </w:rPr>
        <w:t xml:space="preserve">6. Sprendimo projekto iniciatoriai: </w:t>
      </w:r>
      <w:r w:rsidRPr="00F07D07">
        <w:rPr>
          <w:szCs w:val="24"/>
        </w:rPr>
        <w:t>Finansų skyrius</w:t>
      </w:r>
      <w:r>
        <w:rPr>
          <w:szCs w:val="24"/>
        </w:rPr>
        <w:t xml:space="preserve">. </w:t>
      </w:r>
    </w:p>
    <w:p w14:paraId="6BBB6C8F" w14:textId="77777777" w:rsidR="00255564" w:rsidRDefault="00255564" w:rsidP="00F07D07">
      <w:pPr>
        <w:ind w:firstLine="720"/>
        <w:jc w:val="both"/>
        <w:rPr>
          <w:b/>
          <w:szCs w:val="24"/>
        </w:rPr>
      </w:pPr>
      <w:r>
        <w:rPr>
          <w:b/>
          <w:szCs w:val="24"/>
        </w:rPr>
        <w:t>7</w:t>
      </w:r>
      <w:r>
        <w:rPr>
          <w:b/>
          <w:bCs/>
          <w:szCs w:val="24"/>
        </w:rPr>
        <w:t xml:space="preserve">. Sprendimo projekto rengimo metu gauti specialistų vertinimai ir išvados. </w:t>
      </w:r>
    </w:p>
    <w:p w14:paraId="10409D58" w14:textId="77777777" w:rsidR="00255564" w:rsidRPr="00343F4C" w:rsidRDefault="00255564">
      <w:pPr>
        <w:pStyle w:val="Pagrindinistekstas1"/>
        <w:ind w:firstLine="720"/>
        <w:rPr>
          <w:rFonts w:ascii="Times New Roman" w:hAnsi="Times New Roman"/>
          <w:sz w:val="24"/>
          <w:szCs w:val="24"/>
          <w:lang w:val="lt-LT"/>
        </w:rPr>
      </w:pPr>
      <w:r w:rsidRPr="00343F4C">
        <w:rPr>
          <w:rFonts w:ascii="Times New Roman" w:hAnsi="Times New Roman"/>
          <w:sz w:val="24"/>
          <w:szCs w:val="24"/>
          <w:lang w:val="lt-LT"/>
        </w:rPr>
        <w:t>Negauta</w:t>
      </w:r>
      <w:r>
        <w:rPr>
          <w:rFonts w:ascii="Times New Roman" w:hAnsi="Times New Roman"/>
          <w:sz w:val="24"/>
          <w:szCs w:val="24"/>
          <w:lang w:val="lt-LT"/>
        </w:rPr>
        <w:t>.</w:t>
      </w:r>
    </w:p>
    <w:p w14:paraId="19E0E1F5" w14:textId="77777777" w:rsidR="00255564" w:rsidRDefault="00255564">
      <w:pPr>
        <w:jc w:val="both"/>
        <w:rPr>
          <w:szCs w:val="24"/>
        </w:rPr>
      </w:pPr>
    </w:p>
    <w:p w14:paraId="63493531" w14:textId="77777777" w:rsidR="00255564" w:rsidRDefault="00255564">
      <w:pPr>
        <w:jc w:val="both"/>
        <w:rPr>
          <w:szCs w:val="24"/>
        </w:rPr>
      </w:pPr>
      <w:r>
        <w:rPr>
          <w:szCs w:val="24"/>
        </w:rPr>
        <w:t>Finansų skyriaus vedėja                                                                           Dalė Petrėnienė</w:t>
      </w:r>
    </w:p>
    <w:p w14:paraId="0A8A73B1" w14:textId="77777777" w:rsidR="00255564" w:rsidRDefault="00255564">
      <w:pPr>
        <w:jc w:val="both"/>
        <w:rPr>
          <w:szCs w:val="24"/>
        </w:rPr>
      </w:pPr>
    </w:p>
    <w:p w14:paraId="7C850D70" w14:textId="77777777" w:rsidR="00255564" w:rsidRDefault="00255564"/>
    <w:p w14:paraId="17616E1D" w14:textId="77777777" w:rsidR="00255564" w:rsidRDefault="00255564">
      <w:pPr>
        <w:jc w:val="both"/>
        <w:rPr>
          <w:szCs w:val="24"/>
        </w:rPr>
      </w:pPr>
    </w:p>
    <w:p w14:paraId="0FC9FBB8" w14:textId="77777777" w:rsidR="00255564" w:rsidRDefault="00255564">
      <w:pPr>
        <w:jc w:val="center"/>
        <w:rPr>
          <w:b/>
          <w:caps/>
        </w:rPr>
      </w:pPr>
    </w:p>
    <w:sectPr w:rsidR="00255564"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C871C" w14:textId="77777777" w:rsidR="002770C4" w:rsidRDefault="002770C4">
      <w:r>
        <w:separator/>
      </w:r>
    </w:p>
  </w:endnote>
  <w:endnote w:type="continuationSeparator" w:id="0">
    <w:p w14:paraId="54350035" w14:textId="77777777" w:rsidR="002770C4" w:rsidRDefault="0027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04CA1" w14:textId="77777777" w:rsidR="002770C4" w:rsidRDefault="002770C4">
      <w:r>
        <w:separator/>
      </w:r>
    </w:p>
  </w:footnote>
  <w:footnote w:type="continuationSeparator" w:id="0">
    <w:p w14:paraId="345611A4" w14:textId="77777777" w:rsidR="002770C4" w:rsidRDefault="0027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7822" w14:textId="77777777" w:rsidR="00255564" w:rsidRDefault="00255564">
    <w:pPr>
      <w:pStyle w:val="Antrats"/>
      <w:rPr>
        <w:b/>
      </w:rPr>
    </w:pPr>
    <w:r>
      <w:tab/>
    </w:r>
    <w:r>
      <w:tab/>
      <w:t xml:space="preserve">   </w:t>
    </w:r>
  </w:p>
  <w:p w14:paraId="63AE932E" w14:textId="77777777" w:rsidR="00255564" w:rsidRDefault="0025556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138"/>
    <w:rsid w:val="00021712"/>
    <w:rsid w:val="00024E88"/>
    <w:rsid w:val="00032245"/>
    <w:rsid w:val="00053DF1"/>
    <w:rsid w:val="000540A7"/>
    <w:rsid w:val="000721D1"/>
    <w:rsid w:val="00092F40"/>
    <w:rsid w:val="000B4647"/>
    <w:rsid w:val="000B72CD"/>
    <w:rsid w:val="000C140F"/>
    <w:rsid w:val="00102EC8"/>
    <w:rsid w:val="001362DD"/>
    <w:rsid w:val="0014283A"/>
    <w:rsid w:val="0014297C"/>
    <w:rsid w:val="001735DF"/>
    <w:rsid w:val="00180449"/>
    <w:rsid w:val="001B5144"/>
    <w:rsid w:val="001D28D0"/>
    <w:rsid w:val="001E294C"/>
    <w:rsid w:val="001E702C"/>
    <w:rsid w:val="001F4BC6"/>
    <w:rsid w:val="00215674"/>
    <w:rsid w:val="00240D9E"/>
    <w:rsid w:val="0024281B"/>
    <w:rsid w:val="00255564"/>
    <w:rsid w:val="00255DE8"/>
    <w:rsid w:val="002770C4"/>
    <w:rsid w:val="00287146"/>
    <w:rsid w:val="002B0513"/>
    <w:rsid w:val="002E418C"/>
    <w:rsid w:val="003176F2"/>
    <w:rsid w:val="0032355A"/>
    <w:rsid w:val="00337166"/>
    <w:rsid w:val="00343F4C"/>
    <w:rsid w:val="003B5EBB"/>
    <w:rsid w:val="003B60C8"/>
    <w:rsid w:val="003B64E6"/>
    <w:rsid w:val="003D6AC0"/>
    <w:rsid w:val="00400E40"/>
    <w:rsid w:val="00402C5F"/>
    <w:rsid w:val="00442704"/>
    <w:rsid w:val="00443CE6"/>
    <w:rsid w:val="00444BBF"/>
    <w:rsid w:val="0045783D"/>
    <w:rsid w:val="00467002"/>
    <w:rsid w:val="004866A1"/>
    <w:rsid w:val="004A1AB9"/>
    <w:rsid w:val="004C2887"/>
    <w:rsid w:val="004E6081"/>
    <w:rsid w:val="004E6596"/>
    <w:rsid w:val="00520535"/>
    <w:rsid w:val="00541868"/>
    <w:rsid w:val="005C04FC"/>
    <w:rsid w:val="005D1317"/>
    <w:rsid w:val="005D4F14"/>
    <w:rsid w:val="005D6B04"/>
    <w:rsid w:val="005E5260"/>
    <w:rsid w:val="005E6850"/>
    <w:rsid w:val="00632B91"/>
    <w:rsid w:val="00674EF0"/>
    <w:rsid w:val="00680D83"/>
    <w:rsid w:val="006A08CE"/>
    <w:rsid w:val="006E272E"/>
    <w:rsid w:val="006E3163"/>
    <w:rsid w:val="006F2838"/>
    <w:rsid w:val="00756592"/>
    <w:rsid w:val="00794548"/>
    <w:rsid w:val="007A4F14"/>
    <w:rsid w:val="007A7547"/>
    <w:rsid w:val="007C3075"/>
    <w:rsid w:val="008173A1"/>
    <w:rsid w:val="00823966"/>
    <w:rsid w:val="00867300"/>
    <w:rsid w:val="00874E8F"/>
    <w:rsid w:val="00880B22"/>
    <w:rsid w:val="008A2670"/>
    <w:rsid w:val="008B6B8C"/>
    <w:rsid w:val="008C1EE4"/>
    <w:rsid w:val="008D15D6"/>
    <w:rsid w:val="008F26BC"/>
    <w:rsid w:val="009250E1"/>
    <w:rsid w:val="00957BAB"/>
    <w:rsid w:val="00A0277F"/>
    <w:rsid w:val="00A11878"/>
    <w:rsid w:val="00A14707"/>
    <w:rsid w:val="00A2413D"/>
    <w:rsid w:val="00A86AC4"/>
    <w:rsid w:val="00AB6B9B"/>
    <w:rsid w:val="00AF1657"/>
    <w:rsid w:val="00B136B9"/>
    <w:rsid w:val="00B3461C"/>
    <w:rsid w:val="00B34C1E"/>
    <w:rsid w:val="00B47D14"/>
    <w:rsid w:val="00BB0927"/>
    <w:rsid w:val="00BE0824"/>
    <w:rsid w:val="00C02621"/>
    <w:rsid w:val="00C060DD"/>
    <w:rsid w:val="00C10A8B"/>
    <w:rsid w:val="00C34FEF"/>
    <w:rsid w:val="00C3764A"/>
    <w:rsid w:val="00C44B3E"/>
    <w:rsid w:val="00C51B1B"/>
    <w:rsid w:val="00C700F5"/>
    <w:rsid w:val="00C71430"/>
    <w:rsid w:val="00C71D9B"/>
    <w:rsid w:val="00C83198"/>
    <w:rsid w:val="00C83757"/>
    <w:rsid w:val="00CF38A8"/>
    <w:rsid w:val="00D263B2"/>
    <w:rsid w:val="00D60BC5"/>
    <w:rsid w:val="00D81654"/>
    <w:rsid w:val="00D918CC"/>
    <w:rsid w:val="00DB66B9"/>
    <w:rsid w:val="00DC6C86"/>
    <w:rsid w:val="00DE07AF"/>
    <w:rsid w:val="00E0100D"/>
    <w:rsid w:val="00E12F56"/>
    <w:rsid w:val="00E1398F"/>
    <w:rsid w:val="00E21B80"/>
    <w:rsid w:val="00E22A19"/>
    <w:rsid w:val="00E9796F"/>
    <w:rsid w:val="00EA72F2"/>
    <w:rsid w:val="00ED2D55"/>
    <w:rsid w:val="00ED4B44"/>
    <w:rsid w:val="00F06DBC"/>
    <w:rsid w:val="00F06E04"/>
    <w:rsid w:val="00F07D07"/>
    <w:rsid w:val="00F12636"/>
    <w:rsid w:val="00F631D5"/>
    <w:rsid w:val="00F66633"/>
    <w:rsid w:val="00F70F91"/>
    <w:rsid w:val="00F80547"/>
    <w:rsid w:val="00FC647D"/>
    <w:rsid w:val="00FD04E4"/>
    <w:rsid w:val="00FD44F2"/>
    <w:rsid w:val="00FD49FB"/>
    <w:rsid w:val="00FE0026"/>
    <w:rsid w:val="00FF3D63"/>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7BFA7"/>
  <w15:docId w15:val="{C201FA73-971F-4CE6-AF91-FDD8D5A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paragraph" w:styleId="Paantrat">
    <w:name w:val="Subtitle"/>
    <w:basedOn w:val="prastasis"/>
    <w:next w:val="prastasis"/>
    <w:link w:val="PaantratDiagrama"/>
    <w:qFormat/>
    <w:locked/>
    <w:rsid w:val="00FE0026"/>
    <w:pPr>
      <w:spacing w:after="60"/>
      <w:jc w:val="center"/>
      <w:outlineLvl w:val="1"/>
    </w:pPr>
    <w:rPr>
      <w:rFonts w:ascii="Cambria" w:hAnsi="Cambria"/>
      <w:szCs w:val="24"/>
    </w:rPr>
  </w:style>
  <w:style w:type="character" w:customStyle="1" w:styleId="PaantratDiagrama">
    <w:name w:val="Paantraštė Diagrama"/>
    <w:link w:val="Paantrat"/>
    <w:rsid w:val="00FE0026"/>
    <w:rPr>
      <w:rFonts w:ascii="Cambria" w:eastAsia="Times New Roman" w:hAnsi="Cambria" w:cs="Times New Roman"/>
      <w:sz w:val="24"/>
      <w:szCs w:val="24"/>
      <w:lang w:eastAsia="en-US"/>
    </w:rPr>
  </w:style>
  <w:style w:type="table" w:styleId="Lentelstinklelis">
    <w:name w:val="Table Grid"/>
    <w:basedOn w:val="prastojilentel"/>
    <w:uiPriority w:val="39"/>
    <w:locked/>
    <w:rsid w:val="000B72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A3E2B-C650-4027-8FA5-655A4CEC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6652</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2019-05-30T10:34:00Z</cp:lastPrinted>
  <dcterms:created xsi:type="dcterms:W3CDTF">2020-07-15T06:05:00Z</dcterms:created>
  <dcterms:modified xsi:type="dcterms:W3CDTF">2020-08-13T08:55:00Z</dcterms:modified>
</cp:coreProperties>
</file>