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F963" w14:textId="27E13DE4" w:rsidR="000634AB" w:rsidRPr="000634AB" w:rsidRDefault="000634AB" w:rsidP="00D76C96">
      <w:pPr>
        <w:ind w:left="4100" w:firstLine="720"/>
        <w:rPr>
          <w:b/>
          <w:bCs/>
          <w:u w:val="single"/>
        </w:rPr>
      </w:pPr>
      <w:r w:rsidRPr="000634AB">
        <w:rPr>
          <w:b/>
          <w:bCs/>
          <w:u w:val="single"/>
        </w:rPr>
        <w:t>Lyginamasis variantas</w:t>
      </w:r>
    </w:p>
    <w:p w14:paraId="534CA74C" w14:textId="4025D3FA" w:rsidR="00D76C96" w:rsidRDefault="00D76C96" w:rsidP="00D76C96">
      <w:pPr>
        <w:ind w:left="4100" w:firstLine="720"/>
      </w:pPr>
      <w:r>
        <w:t xml:space="preserve">PATVIRTINTA </w:t>
      </w:r>
    </w:p>
    <w:p w14:paraId="3EBAF496" w14:textId="77777777" w:rsidR="00D76C96" w:rsidRDefault="00D76C96" w:rsidP="00D76C96">
      <w:pPr>
        <w:ind w:left="4820"/>
        <w:rPr>
          <w:szCs w:val="24"/>
        </w:rPr>
      </w:pPr>
      <w:r>
        <w:rPr>
          <w:szCs w:val="24"/>
        </w:rPr>
        <w:t xml:space="preserve">Pasvalio rajono savivaldybės tarybos </w:t>
      </w:r>
    </w:p>
    <w:p w14:paraId="25460080" w14:textId="77777777" w:rsidR="00D76C96" w:rsidRDefault="00D76C96" w:rsidP="00D76C96">
      <w:pPr>
        <w:ind w:left="4100" w:firstLine="720"/>
      </w:pPr>
      <w:r>
        <w:t>2019 m. vasario 20 d. sprendimu Nr. T1-8</w:t>
      </w:r>
    </w:p>
    <w:p w14:paraId="098DF875" w14:textId="77777777" w:rsidR="00D76C96" w:rsidRDefault="00D76C96" w:rsidP="00D76C96">
      <w:pPr>
        <w:ind w:left="4100" w:firstLine="720"/>
      </w:pPr>
    </w:p>
    <w:p w14:paraId="26815EB2" w14:textId="77777777" w:rsidR="00D76C96" w:rsidRDefault="00D76C96" w:rsidP="00D76C96">
      <w:pPr>
        <w:ind w:left="4100" w:firstLine="720"/>
      </w:pPr>
    </w:p>
    <w:p w14:paraId="4C1AA35D" w14:textId="77777777" w:rsidR="00D76C96" w:rsidRPr="0039251B" w:rsidRDefault="00D76C96" w:rsidP="00D76C96">
      <w:pPr>
        <w:jc w:val="center"/>
        <w:rPr>
          <w:rFonts w:eastAsia="Calibri"/>
          <w:b/>
          <w:szCs w:val="24"/>
        </w:rPr>
      </w:pPr>
      <w:r w:rsidRPr="0039251B">
        <w:rPr>
          <w:b/>
          <w:bCs/>
          <w:szCs w:val="24"/>
          <w:lang w:eastAsia="lt-LT"/>
        </w:rPr>
        <w:t>PASVALIO RAJONO SAVIVALDYBĖ</w:t>
      </w:r>
      <w:r>
        <w:rPr>
          <w:b/>
          <w:bCs/>
          <w:szCs w:val="24"/>
          <w:lang w:eastAsia="lt-LT"/>
        </w:rPr>
        <w:t>S</w:t>
      </w:r>
      <w:r w:rsidRPr="0039251B">
        <w:rPr>
          <w:b/>
          <w:bCs/>
          <w:szCs w:val="24"/>
          <w:lang w:eastAsia="lt-LT"/>
        </w:rPr>
        <w:t xml:space="preserve"> DAUGIABUČIŲ GYVENAMŲJŲ NAMŲ</w:t>
      </w:r>
      <w:r>
        <w:rPr>
          <w:b/>
          <w:bCs/>
          <w:szCs w:val="24"/>
          <w:lang w:eastAsia="lt-LT"/>
        </w:rPr>
        <w:t xml:space="preserve"> </w:t>
      </w:r>
      <w:r w:rsidRPr="0039251B">
        <w:rPr>
          <w:b/>
          <w:bCs/>
          <w:szCs w:val="24"/>
          <w:lang w:eastAsia="lt-LT"/>
        </w:rPr>
        <w:t xml:space="preserve">TECHNINĖS PRIEŽIŪROS </w:t>
      </w:r>
      <w:r>
        <w:rPr>
          <w:b/>
          <w:bCs/>
          <w:szCs w:val="24"/>
          <w:lang w:eastAsia="lt-LT"/>
        </w:rPr>
        <w:t xml:space="preserve">MAKSIMALŪS </w:t>
      </w:r>
      <w:r w:rsidRPr="0039251B">
        <w:rPr>
          <w:b/>
          <w:bCs/>
          <w:szCs w:val="24"/>
          <w:lang w:eastAsia="lt-LT"/>
        </w:rPr>
        <w:t>TARIFAI</w:t>
      </w:r>
    </w:p>
    <w:p w14:paraId="34F9F250" w14:textId="77777777" w:rsidR="00D76C96" w:rsidRPr="0039251B" w:rsidRDefault="00D76C96" w:rsidP="00D76C96">
      <w:pPr>
        <w:jc w:val="center"/>
        <w:rPr>
          <w:rFonts w:eastAsia="Calibri"/>
          <w:szCs w:val="24"/>
        </w:rPr>
      </w:pPr>
    </w:p>
    <w:p w14:paraId="73D1C47F" w14:textId="77777777" w:rsidR="00D76C96" w:rsidRPr="0039251B" w:rsidRDefault="00D76C96" w:rsidP="00D76C96">
      <w:pPr>
        <w:tabs>
          <w:tab w:val="center" w:pos="142"/>
        </w:tabs>
        <w:ind w:firstLine="709"/>
        <w:jc w:val="both"/>
        <w:rPr>
          <w:szCs w:val="24"/>
        </w:rPr>
      </w:pPr>
      <w:r w:rsidRPr="0039251B">
        <w:rPr>
          <w:szCs w:val="24"/>
        </w:rPr>
        <w:t xml:space="preserve">1. Pasvalio rajono savivaldybėje </w:t>
      </w:r>
      <w:r>
        <w:rPr>
          <w:szCs w:val="24"/>
        </w:rPr>
        <w:t xml:space="preserve">(toliau – Savivaldybė) </w:t>
      </w:r>
      <w:r w:rsidRPr="0039251B">
        <w:rPr>
          <w:szCs w:val="24"/>
        </w:rPr>
        <w:t>esančių daugiabučių gyvenamųjų namų techninės priežiūros tarifai taikomi apskaičiuojant atlygį už Statybos techniniame reglamente STR 1.07.03.2017 „Statinių techninės ir naudojimo priežiūros tvarka. Naujų nekilnojamojo turto kadastro objektų formavimo tvarka“</w:t>
      </w:r>
      <w:r>
        <w:rPr>
          <w:szCs w:val="24"/>
        </w:rPr>
        <w:t>,</w:t>
      </w:r>
      <w:r w:rsidRPr="002E5F01">
        <w:rPr>
          <w:szCs w:val="24"/>
        </w:rPr>
        <w:t xml:space="preserve"> patvirtint</w:t>
      </w:r>
      <w:r>
        <w:rPr>
          <w:szCs w:val="24"/>
        </w:rPr>
        <w:t>ame</w:t>
      </w:r>
      <w:r w:rsidRPr="002E5F01">
        <w:rPr>
          <w:szCs w:val="24"/>
        </w:rPr>
        <w:t xml:space="preserve"> Lietuvos</w:t>
      </w:r>
      <w:r>
        <w:rPr>
          <w:szCs w:val="24"/>
        </w:rPr>
        <w:t xml:space="preserve"> </w:t>
      </w:r>
      <w:r w:rsidRPr="002E5F01">
        <w:rPr>
          <w:szCs w:val="24"/>
        </w:rPr>
        <w:t xml:space="preserve">Respublikos aplinkos ministro 2016 m. gruodžio 30 d. įsakymu </w:t>
      </w:r>
      <w:bookmarkStart w:id="0" w:name="P229045_1"/>
      <w:r w:rsidRPr="00AC5482">
        <w:rPr>
          <w:szCs w:val="24"/>
        </w:rPr>
        <w:fldChar w:fldCharType="begin"/>
      </w:r>
      <w:r w:rsidRPr="00AC5482">
        <w:rPr>
          <w:szCs w:val="24"/>
        </w:rPr>
        <w:instrText xml:space="preserve"> HYPERLINK "http://10.254.0.253/Litlex/ll.dll?Tekstas=1&amp;Id=229045&amp;BF=1" \o "Dėl statybos techninio reglamento STR 1.07.03:2017 ''Statinių techninės ir naudojimo priežiūros tvarka. Naujų nekilnojamojo turto kadastro objektų formavimo tvarka'' patvirtinimo" \t "FTurinys" </w:instrText>
      </w:r>
      <w:r w:rsidRPr="00AC5482">
        <w:rPr>
          <w:szCs w:val="24"/>
        </w:rPr>
        <w:fldChar w:fldCharType="separate"/>
      </w:r>
      <w:r w:rsidRPr="00AC5482">
        <w:rPr>
          <w:rStyle w:val="Hipersaitas"/>
          <w:iCs/>
          <w:color w:val="000000"/>
          <w:szCs w:val="24"/>
        </w:rPr>
        <w:t>Nr. D1-971</w:t>
      </w:r>
      <w:r w:rsidRPr="00AC5482">
        <w:rPr>
          <w:szCs w:val="24"/>
        </w:rPr>
        <w:fldChar w:fldCharType="end"/>
      </w:r>
      <w:bookmarkEnd w:id="0"/>
      <w:r w:rsidRPr="00E60A58">
        <w:rPr>
          <w:szCs w:val="24"/>
          <w:u w:val="single"/>
        </w:rPr>
        <w:t xml:space="preserve"> </w:t>
      </w:r>
      <w:r>
        <w:rPr>
          <w:szCs w:val="24"/>
        </w:rPr>
        <w:t>„</w:t>
      </w:r>
      <w:r w:rsidRPr="002E5F01">
        <w:rPr>
          <w:szCs w:val="24"/>
        </w:rPr>
        <w:t>Dėl statybos techninio reglamento STR 1.07.03:2017</w:t>
      </w:r>
      <w:r>
        <w:rPr>
          <w:szCs w:val="24"/>
        </w:rPr>
        <w:t xml:space="preserve"> „</w:t>
      </w:r>
      <w:r w:rsidRPr="002E5F01">
        <w:rPr>
          <w:szCs w:val="24"/>
        </w:rPr>
        <w:t>Statinių techninės ir naudojimo priežiūros tvarka.</w:t>
      </w:r>
      <w:r>
        <w:rPr>
          <w:szCs w:val="24"/>
        </w:rPr>
        <w:t xml:space="preserve"> </w:t>
      </w:r>
      <w:r w:rsidRPr="002E5F01">
        <w:rPr>
          <w:szCs w:val="24"/>
        </w:rPr>
        <w:t>Naujų</w:t>
      </w:r>
      <w:r>
        <w:rPr>
          <w:szCs w:val="24"/>
        </w:rPr>
        <w:t xml:space="preserve"> </w:t>
      </w:r>
      <w:r w:rsidRPr="002E5F01">
        <w:rPr>
          <w:szCs w:val="24"/>
        </w:rPr>
        <w:t>nekilnojamojo turto kadastro objektų formavimo tvarka</w:t>
      </w:r>
      <w:r>
        <w:rPr>
          <w:szCs w:val="24"/>
        </w:rPr>
        <w:t xml:space="preserve">“ </w:t>
      </w:r>
      <w:r w:rsidRPr="002E5F01">
        <w:rPr>
          <w:szCs w:val="24"/>
        </w:rPr>
        <w:t>patvirtinimo</w:t>
      </w:r>
      <w:r>
        <w:rPr>
          <w:szCs w:val="24"/>
        </w:rPr>
        <w:t>“</w:t>
      </w:r>
      <w:r w:rsidRPr="0039251B">
        <w:rPr>
          <w:szCs w:val="24"/>
        </w:rPr>
        <w:t xml:space="preserve"> (toliau – Reglamentas)</w:t>
      </w:r>
      <w:r>
        <w:rPr>
          <w:szCs w:val="24"/>
        </w:rPr>
        <w:t>,</w:t>
      </w:r>
      <w:r w:rsidRPr="0039251B">
        <w:rPr>
          <w:szCs w:val="24"/>
        </w:rPr>
        <w:t xml:space="preserve"> nurodytus darbus:</w:t>
      </w:r>
    </w:p>
    <w:p w14:paraId="516C2962" w14:textId="77777777" w:rsidR="00D76C96" w:rsidRPr="0039251B" w:rsidRDefault="00D76C96" w:rsidP="00D76C96">
      <w:pPr>
        <w:tabs>
          <w:tab w:val="center" w:pos="4819"/>
          <w:tab w:val="right" w:pos="9638"/>
        </w:tabs>
        <w:ind w:firstLine="709"/>
        <w:jc w:val="both"/>
        <w:rPr>
          <w:szCs w:val="24"/>
        </w:rPr>
      </w:pPr>
      <w:r>
        <w:rPr>
          <w:szCs w:val="24"/>
        </w:rPr>
        <w:t>1.1.</w:t>
      </w:r>
      <w:r w:rsidRPr="0039251B">
        <w:rPr>
          <w:szCs w:val="24"/>
        </w:rPr>
        <w:t xml:space="preserve"> nuolatinius namo būklės stebėjimus;</w:t>
      </w:r>
    </w:p>
    <w:p w14:paraId="3D7C6826" w14:textId="77777777" w:rsidR="00D76C96" w:rsidRPr="0039251B" w:rsidRDefault="00D76C96" w:rsidP="00D76C96">
      <w:pPr>
        <w:tabs>
          <w:tab w:val="center" w:pos="4819"/>
          <w:tab w:val="right" w:pos="9638"/>
        </w:tabs>
        <w:ind w:firstLine="709"/>
        <w:jc w:val="both"/>
        <w:rPr>
          <w:szCs w:val="24"/>
        </w:rPr>
      </w:pPr>
      <w:r>
        <w:rPr>
          <w:szCs w:val="24"/>
        </w:rPr>
        <w:t>1.2.</w:t>
      </w:r>
      <w:r w:rsidRPr="0039251B">
        <w:rPr>
          <w:szCs w:val="24"/>
        </w:rPr>
        <w:t xml:space="preserve"> periodines (sezonines) namo apžiūras;</w:t>
      </w:r>
    </w:p>
    <w:p w14:paraId="68B44195" w14:textId="77777777" w:rsidR="00D76C96" w:rsidRPr="0039251B" w:rsidRDefault="00D76C96" w:rsidP="00D76C96">
      <w:pPr>
        <w:tabs>
          <w:tab w:val="center" w:pos="4819"/>
          <w:tab w:val="right" w:pos="9638"/>
        </w:tabs>
        <w:ind w:firstLine="709"/>
        <w:jc w:val="both"/>
        <w:rPr>
          <w:szCs w:val="24"/>
        </w:rPr>
      </w:pPr>
      <w:r>
        <w:rPr>
          <w:szCs w:val="24"/>
        </w:rPr>
        <w:t>1.3.</w:t>
      </w:r>
      <w:r w:rsidRPr="0039251B">
        <w:rPr>
          <w:szCs w:val="24"/>
        </w:rPr>
        <w:t xml:space="preserve"> nuolatinių stebėjimų ir apžiūrų dokumentų, privalomų pagal Reglamento 51 punktą, rengimą, pildymą ir saugojimą.</w:t>
      </w:r>
    </w:p>
    <w:p w14:paraId="6644F1C7" w14:textId="77777777" w:rsidR="00D76C96" w:rsidRPr="0039251B" w:rsidRDefault="00D76C96" w:rsidP="00D76C96">
      <w:pPr>
        <w:tabs>
          <w:tab w:val="center" w:pos="4819"/>
          <w:tab w:val="right" w:pos="9638"/>
        </w:tabs>
        <w:ind w:firstLine="709"/>
        <w:jc w:val="both"/>
        <w:rPr>
          <w:szCs w:val="24"/>
        </w:rPr>
      </w:pPr>
      <w:r w:rsidRPr="0039251B">
        <w:rPr>
          <w:szCs w:val="24"/>
        </w:rPr>
        <w:t xml:space="preserve">2. </w:t>
      </w:r>
      <w:r>
        <w:rPr>
          <w:szCs w:val="24"/>
        </w:rPr>
        <w:t>T</w:t>
      </w:r>
      <w:r w:rsidRPr="0039251B">
        <w:rPr>
          <w:szCs w:val="24"/>
        </w:rPr>
        <w:t xml:space="preserve">echninės priežiūros </w:t>
      </w:r>
      <w:r>
        <w:rPr>
          <w:szCs w:val="24"/>
        </w:rPr>
        <w:t>m</w:t>
      </w:r>
      <w:r w:rsidRPr="0039251B">
        <w:rPr>
          <w:szCs w:val="24"/>
        </w:rPr>
        <w:t xml:space="preserve">aksimalūs tarifai – namų grupėms </w:t>
      </w:r>
      <w:r>
        <w:rPr>
          <w:szCs w:val="24"/>
        </w:rPr>
        <w:t>S</w:t>
      </w:r>
      <w:r w:rsidRPr="0039251B">
        <w:rPr>
          <w:szCs w:val="24"/>
        </w:rPr>
        <w:t>avivaldybės tarybos nustatyti didžiausi galimi techninės priežiūros mokėjimai.</w:t>
      </w:r>
    </w:p>
    <w:p w14:paraId="7DFC5AC5" w14:textId="77777777" w:rsidR="00D76C96" w:rsidRPr="0039251B" w:rsidRDefault="00D76C96" w:rsidP="00D76C96">
      <w:pPr>
        <w:tabs>
          <w:tab w:val="center" w:pos="4819"/>
          <w:tab w:val="right" w:pos="9638"/>
        </w:tabs>
        <w:ind w:firstLine="709"/>
        <w:jc w:val="both"/>
        <w:rPr>
          <w:szCs w:val="24"/>
        </w:rPr>
      </w:pPr>
      <w:r w:rsidRPr="0039251B">
        <w:rPr>
          <w:szCs w:val="24"/>
        </w:rPr>
        <w:t xml:space="preserve">3. </w:t>
      </w:r>
      <w:r>
        <w:rPr>
          <w:szCs w:val="24"/>
        </w:rPr>
        <w:t>S</w:t>
      </w:r>
      <w:r w:rsidRPr="0039251B">
        <w:rPr>
          <w:szCs w:val="24"/>
        </w:rPr>
        <w:t xml:space="preserve">avivaldybės daugiabučių gyvenamųjų namų techninės priežiūros maksimaliais techninės priežiūros tarifais </w:t>
      </w:r>
      <w:r>
        <w:rPr>
          <w:szCs w:val="24"/>
        </w:rPr>
        <w:t>privalo</w:t>
      </w:r>
      <w:r w:rsidRPr="0039251B">
        <w:rPr>
          <w:szCs w:val="24"/>
        </w:rPr>
        <w:t xml:space="preserve"> vadovautis Lietuvos Respublikos civilinio kodekso nustatyta tvarka </w:t>
      </w:r>
      <w:r>
        <w:rPr>
          <w:szCs w:val="24"/>
        </w:rPr>
        <w:t>S</w:t>
      </w:r>
      <w:r w:rsidRPr="0039251B">
        <w:rPr>
          <w:szCs w:val="24"/>
        </w:rPr>
        <w:t>avivaldybės paskirti bendrojo naudojimo objektų administratoriai, vykdantys daugiabučių gyvenamųjų namų techninę priežiūrą.</w:t>
      </w:r>
    </w:p>
    <w:p w14:paraId="553344F5" w14:textId="77777777" w:rsidR="00D76C96" w:rsidRDefault="00D76C96" w:rsidP="00D76C96">
      <w:pPr>
        <w:tabs>
          <w:tab w:val="center" w:pos="4819"/>
          <w:tab w:val="right" w:pos="9638"/>
        </w:tabs>
        <w:ind w:firstLine="709"/>
        <w:jc w:val="both"/>
        <w:rPr>
          <w:szCs w:val="24"/>
        </w:rPr>
      </w:pPr>
      <w:r w:rsidRPr="0039251B">
        <w:rPr>
          <w:szCs w:val="24"/>
        </w:rPr>
        <w:t xml:space="preserve">4. </w:t>
      </w:r>
      <w:r>
        <w:rPr>
          <w:szCs w:val="24"/>
        </w:rPr>
        <w:t>S</w:t>
      </w:r>
      <w:r w:rsidRPr="0039251B">
        <w:rPr>
          <w:szCs w:val="24"/>
        </w:rPr>
        <w:t>avivaldybės daugiabučių gyvenamųjų namų techninės priežiūros maksimalūs tarifai: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446"/>
        <w:gridCol w:w="2693"/>
        <w:gridCol w:w="1134"/>
        <w:gridCol w:w="2551"/>
      </w:tblGrid>
      <w:tr w:rsidR="00D76C96" w:rsidRPr="0039251B" w14:paraId="2AB52E30" w14:textId="77777777" w:rsidTr="00D6737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3B8E" w14:textId="77777777" w:rsidR="00D76C96" w:rsidRPr="0039251B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b/>
                <w:szCs w:val="24"/>
              </w:rPr>
            </w:pPr>
            <w:r w:rsidRPr="0039251B">
              <w:rPr>
                <w:b/>
                <w:szCs w:val="24"/>
                <w:lang w:eastAsia="lt-LT"/>
              </w:rPr>
              <w:t>Eil. Nr.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742D" w14:textId="77777777" w:rsidR="00D76C96" w:rsidRPr="0039251B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b/>
                <w:szCs w:val="24"/>
              </w:rPr>
            </w:pPr>
            <w:r w:rsidRPr="0039251B">
              <w:rPr>
                <w:b/>
                <w:szCs w:val="24"/>
                <w:lang w:eastAsia="lt-LT"/>
              </w:rPr>
              <w:t>Namo dydis*, m</w:t>
            </w:r>
            <w:r w:rsidRPr="0039251B">
              <w:rPr>
                <w:b/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C806" w14:textId="77777777" w:rsidR="00D76C96" w:rsidRPr="0039251B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b/>
                <w:szCs w:val="24"/>
              </w:rPr>
            </w:pPr>
            <w:r w:rsidRPr="0039251B">
              <w:rPr>
                <w:b/>
                <w:szCs w:val="24"/>
                <w:lang w:eastAsia="lt-LT"/>
              </w:rPr>
              <w:t>Maksimalus tarifas, Eur/m</w:t>
            </w:r>
            <w:r w:rsidRPr="0039251B">
              <w:rPr>
                <w:b/>
                <w:szCs w:val="24"/>
                <w:vertAlign w:val="superscript"/>
                <w:lang w:eastAsia="lt-LT"/>
              </w:rPr>
              <w:t>2</w:t>
            </w:r>
            <w:r w:rsidRPr="0039251B">
              <w:rPr>
                <w:b/>
                <w:szCs w:val="24"/>
                <w:lang w:eastAsia="lt-LT"/>
              </w:rPr>
              <w:t>/mėn.,</w:t>
            </w:r>
            <w:r>
              <w:rPr>
                <w:b/>
                <w:szCs w:val="24"/>
                <w:lang w:eastAsia="lt-LT"/>
              </w:rPr>
              <w:t xml:space="preserve"> </w:t>
            </w:r>
            <w:r w:rsidRPr="0039251B">
              <w:rPr>
                <w:b/>
                <w:szCs w:val="24"/>
                <w:lang w:eastAsia="lt-LT"/>
              </w:rPr>
              <w:t>be PVM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7AAD" w14:textId="77777777" w:rsidR="00D76C96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</w:t>
            </w:r>
            <w:r w:rsidRPr="0039251B">
              <w:rPr>
                <w:b/>
                <w:szCs w:val="24"/>
                <w:lang w:eastAsia="lt-LT"/>
              </w:rPr>
              <w:t>VM</w:t>
            </w:r>
          </w:p>
          <w:p w14:paraId="1490194A" w14:textId="77777777" w:rsidR="00D76C96" w:rsidRPr="0039251B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b/>
                <w:szCs w:val="24"/>
              </w:rPr>
            </w:pPr>
            <w:r w:rsidRPr="009625FB">
              <w:rPr>
                <w:rFonts w:eastAsia="Andale Sans UI" w:cs="Tahoma"/>
                <w:szCs w:val="24"/>
                <w:lang w:bidi="en-US"/>
              </w:rPr>
              <w:t>21</w:t>
            </w:r>
            <w:r>
              <w:rPr>
                <w:rFonts w:eastAsia="Andale Sans UI" w:cs="Tahoma"/>
                <w:szCs w:val="24"/>
                <w:lang w:bidi="en-US"/>
              </w:rPr>
              <w:t xml:space="preserve"> </w:t>
            </w:r>
            <w:r w:rsidRPr="009625FB">
              <w:rPr>
                <w:rFonts w:eastAsia="Andale Sans UI" w:cs="Tahoma"/>
                <w:szCs w:val="24"/>
                <w:lang w:val="en-US" w:bidi="en-US"/>
              </w:rPr>
              <w:t xml:space="preserve">%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E892" w14:textId="77777777" w:rsidR="00D76C96" w:rsidRPr="0039251B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b/>
                <w:szCs w:val="24"/>
              </w:rPr>
            </w:pPr>
            <w:r w:rsidRPr="0039251B">
              <w:rPr>
                <w:b/>
                <w:szCs w:val="24"/>
                <w:lang w:eastAsia="lt-LT"/>
              </w:rPr>
              <w:t>Maksimalus tarifas, Eur/m</w:t>
            </w:r>
            <w:r w:rsidRPr="0039251B">
              <w:rPr>
                <w:b/>
                <w:szCs w:val="24"/>
                <w:vertAlign w:val="superscript"/>
                <w:lang w:eastAsia="lt-LT"/>
              </w:rPr>
              <w:t>2</w:t>
            </w:r>
            <w:r w:rsidRPr="0039251B">
              <w:rPr>
                <w:b/>
                <w:szCs w:val="24"/>
                <w:lang w:eastAsia="lt-LT"/>
              </w:rPr>
              <w:t>/mėn.,</w:t>
            </w:r>
            <w:r>
              <w:rPr>
                <w:b/>
                <w:szCs w:val="24"/>
                <w:lang w:eastAsia="lt-LT"/>
              </w:rPr>
              <w:t xml:space="preserve"> </w:t>
            </w:r>
            <w:r w:rsidRPr="0039251B">
              <w:rPr>
                <w:b/>
                <w:szCs w:val="24"/>
                <w:lang w:eastAsia="lt-LT"/>
              </w:rPr>
              <w:t>su PVM</w:t>
            </w:r>
          </w:p>
        </w:tc>
      </w:tr>
      <w:tr w:rsidR="00D76C96" w:rsidRPr="0039251B" w14:paraId="61FC3C66" w14:textId="77777777" w:rsidTr="00D6737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B8BD" w14:textId="77777777" w:rsidR="00D76C96" w:rsidRPr="0039251B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Cs w:val="24"/>
              </w:rPr>
            </w:pPr>
            <w:r w:rsidRPr="0039251B">
              <w:rPr>
                <w:szCs w:val="24"/>
                <w:lang w:eastAsia="lt-LT"/>
              </w:rPr>
              <w:t>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E136" w14:textId="77777777" w:rsidR="00D76C96" w:rsidRPr="0039251B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Cs w:val="24"/>
              </w:rPr>
            </w:pPr>
            <w:r w:rsidRPr="0039251B">
              <w:rPr>
                <w:szCs w:val="24"/>
                <w:lang w:eastAsia="lt-LT"/>
              </w:rPr>
              <w:t>Iki 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9115" w14:textId="62C13C02" w:rsidR="00D76C96" w:rsidRPr="00B61150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Cs w:val="24"/>
              </w:rPr>
            </w:pPr>
            <w:r w:rsidRPr="00B61150">
              <w:rPr>
                <w:strike/>
                <w:szCs w:val="24"/>
                <w:lang w:eastAsia="lt-LT"/>
              </w:rPr>
              <w:t>0,0119</w:t>
            </w:r>
            <w:r w:rsidR="00B61150">
              <w:rPr>
                <w:szCs w:val="24"/>
                <w:lang w:eastAsia="lt-LT"/>
              </w:rPr>
              <w:t xml:space="preserve"> </w:t>
            </w:r>
            <w:r w:rsidR="00B61150" w:rsidRPr="00B61150">
              <w:rPr>
                <w:b/>
                <w:bCs/>
                <w:szCs w:val="24"/>
                <w:lang w:eastAsia="lt-LT"/>
              </w:rPr>
              <w:t>0</w:t>
            </w:r>
            <w:r w:rsidR="00B61150">
              <w:rPr>
                <w:szCs w:val="24"/>
                <w:lang w:eastAsia="lt-LT"/>
              </w:rPr>
              <w:t>,</w:t>
            </w:r>
            <w:r w:rsidR="00B61150" w:rsidRPr="00B61150">
              <w:rPr>
                <w:b/>
                <w:bCs/>
                <w:szCs w:val="24"/>
                <w:lang w:eastAsia="lt-LT"/>
              </w:rPr>
              <w:t>0708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C2DF" w14:textId="6254D410" w:rsidR="00D76C96" w:rsidRPr="00B61150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b/>
                <w:bCs/>
                <w:szCs w:val="24"/>
              </w:rPr>
            </w:pPr>
            <w:r w:rsidRPr="00B61150">
              <w:rPr>
                <w:strike/>
                <w:szCs w:val="24"/>
                <w:lang w:eastAsia="lt-LT"/>
              </w:rPr>
              <w:t>0,0025</w:t>
            </w:r>
            <w:r w:rsidR="00B61150">
              <w:rPr>
                <w:szCs w:val="24"/>
                <w:lang w:eastAsia="lt-LT"/>
              </w:rPr>
              <w:t xml:space="preserve"> </w:t>
            </w:r>
            <w:r w:rsidR="00B61150">
              <w:rPr>
                <w:b/>
                <w:bCs/>
                <w:szCs w:val="24"/>
                <w:lang w:eastAsia="lt-LT"/>
              </w:rPr>
              <w:t>0,0149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C298" w14:textId="3699F4CC" w:rsidR="00D76C96" w:rsidRPr="001A1D16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Cs w:val="24"/>
              </w:rPr>
            </w:pPr>
            <w:r w:rsidRPr="00B61150">
              <w:rPr>
                <w:strike/>
                <w:szCs w:val="24"/>
                <w:lang w:eastAsia="lt-LT"/>
              </w:rPr>
              <w:t>0,0144</w:t>
            </w:r>
            <w:r w:rsidR="001A1D16">
              <w:rPr>
                <w:szCs w:val="24"/>
                <w:lang w:eastAsia="lt-LT"/>
              </w:rPr>
              <w:t xml:space="preserve"> </w:t>
            </w:r>
            <w:r w:rsidR="001A1D16" w:rsidRPr="001A1D16">
              <w:rPr>
                <w:b/>
                <w:bCs/>
                <w:szCs w:val="24"/>
                <w:lang w:eastAsia="lt-LT"/>
              </w:rPr>
              <w:t>0,0859</w:t>
            </w:r>
          </w:p>
        </w:tc>
      </w:tr>
      <w:tr w:rsidR="00D76C96" w:rsidRPr="0039251B" w14:paraId="094AE173" w14:textId="77777777" w:rsidTr="00D6737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0693" w14:textId="77777777" w:rsidR="00D76C96" w:rsidRPr="0039251B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Cs w:val="24"/>
              </w:rPr>
            </w:pPr>
            <w:r w:rsidRPr="0039251B">
              <w:rPr>
                <w:szCs w:val="24"/>
                <w:lang w:eastAsia="lt-LT"/>
              </w:rPr>
              <w:t>2.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F000" w14:textId="77777777" w:rsidR="00D76C96" w:rsidRPr="0039251B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Cs w:val="24"/>
              </w:rPr>
            </w:pPr>
            <w:r w:rsidRPr="0039251B">
              <w:rPr>
                <w:szCs w:val="24"/>
                <w:lang w:eastAsia="lt-LT"/>
              </w:rPr>
              <w:t>1001</w:t>
            </w:r>
            <w:r>
              <w:rPr>
                <w:szCs w:val="24"/>
                <w:lang w:eastAsia="lt-LT"/>
              </w:rPr>
              <w:t>–</w:t>
            </w:r>
            <w:r w:rsidRPr="0039251B">
              <w:rPr>
                <w:szCs w:val="24"/>
                <w:lang w:eastAsia="lt-LT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E51F" w14:textId="30E33CBB" w:rsidR="00D76C96" w:rsidRPr="00B61150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Cs w:val="24"/>
              </w:rPr>
            </w:pPr>
            <w:r w:rsidRPr="00B61150">
              <w:rPr>
                <w:strike/>
                <w:szCs w:val="24"/>
                <w:lang w:eastAsia="lt-LT"/>
              </w:rPr>
              <w:t>0,0140</w:t>
            </w:r>
            <w:r w:rsidR="00B61150">
              <w:rPr>
                <w:strike/>
                <w:szCs w:val="24"/>
                <w:lang w:eastAsia="lt-LT"/>
              </w:rPr>
              <w:t xml:space="preserve"> </w:t>
            </w:r>
            <w:r w:rsidR="00B61150" w:rsidRPr="00B61150">
              <w:rPr>
                <w:b/>
                <w:bCs/>
                <w:szCs w:val="24"/>
                <w:lang w:eastAsia="lt-LT"/>
              </w:rPr>
              <w:t>0,0236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CE25" w14:textId="2D91CA55" w:rsidR="00D76C96" w:rsidRPr="00B61150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b/>
                <w:bCs/>
                <w:szCs w:val="24"/>
              </w:rPr>
            </w:pPr>
            <w:r w:rsidRPr="00B61150">
              <w:rPr>
                <w:strike/>
                <w:szCs w:val="24"/>
                <w:lang w:eastAsia="lt-LT"/>
              </w:rPr>
              <w:t>0,0029</w:t>
            </w:r>
            <w:r w:rsidR="00B61150">
              <w:rPr>
                <w:b/>
                <w:bCs/>
                <w:szCs w:val="24"/>
                <w:lang w:eastAsia="lt-LT"/>
              </w:rPr>
              <w:t xml:space="preserve"> 0,0050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5342" w14:textId="0477317F" w:rsidR="00D76C96" w:rsidRPr="001A1D16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Cs w:val="24"/>
              </w:rPr>
            </w:pPr>
            <w:r w:rsidRPr="00B61150">
              <w:rPr>
                <w:strike/>
                <w:szCs w:val="24"/>
                <w:lang w:eastAsia="lt-LT"/>
              </w:rPr>
              <w:t>0,0169</w:t>
            </w:r>
            <w:r w:rsidR="001A1D16" w:rsidRPr="001A1D16">
              <w:rPr>
                <w:szCs w:val="24"/>
                <w:lang w:eastAsia="lt-LT"/>
              </w:rPr>
              <w:t xml:space="preserve"> </w:t>
            </w:r>
            <w:r w:rsidR="001A1D16" w:rsidRPr="001A1D16">
              <w:rPr>
                <w:b/>
                <w:bCs/>
                <w:szCs w:val="24"/>
                <w:lang w:eastAsia="lt-LT"/>
              </w:rPr>
              <w:t>0,0286</w:t>
            </w:r>
          </w:p>
        </w:tc>
      </w:tr>
      <w:tr w:rsidR="00D76C96" w:rsidRPr="0039251B" w14:paraId="37FC69B5" w14:textId="77777777" w:rsidTr="00D6737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9D6C" w14:textId="77777777" w:rsidR="00D76C96" w:rsidRPr="0039251B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Cs w:val="24"/>
              </w:rPr>
            </w:pPr>
            <w:r w:rsidRPr="0039251B">
              <w:rPr>
                <w:szCs w:val="24"/>
                <w:lang w:eastAsia="lt-LT"/>
              </w:rPr>
              <w:t>3.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E4E4" w14:textId="3BDC39EA" w:rsidR="00D76C96" w:rsidRPr="000634AB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Cs w:val="24"/>
              </w:rPr>
            </w:pPr>
            <w:r w:rsidRPr="0039251B">
              <w:rPr>
                <w:szCs w:val="24"/>
                <w:lang w:eastAsia="lt-LT"/>
              </w:rPr>
              <w:t>2001</w:t>
            </w:r>
            <w:r>
              <w:rPr>
                <w:szCs w:val="24"/>
                <w:lang w:eastAsia="lt-LT"/>
              </w:rPr>
              <w:t>–</w:t>
            </w:r>
            <w:r w:rsidRPr="000634AB">
              <w:rPr>
                <w:strike/>
                <w:szCs w:val="24"/>
                <w:lang w:eastAsia="lt-LT"/>
              </w:rPr>
              <w:t>5000</w:t>
            </w:r>
            <w:r w:rsidR="000634AB">
              <w:rPr>
                <w:strike/>
                <w:szCs w:val="24"/>
                <w:lang w:eastAsia="lt-LT"/>
              </w:rPr>
              <w:t xml:space="preserve"> </w:t>
            </w:r>
            <w:r w:rsidR="000634AB" w:rsidRPr="000634AB">
              <w:rPr>
                <w:b/>
                <w:bCs/>
                <w:szCs w:val="24"/>
                <w:lang w:eastAsia="lt-LT"/>
              </w:rPr>
              <w:t>3000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E28E" w14:textId="69235445" w:rsidR="00D76C96" w:rsidRPr="00B61150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Cs w:val="24"/>
              </w:rPr>
            </w:pPr>
            <w:r w:rsidRPr="00B61150">
              <w:rPr>
                <w:strike/>
                <w:szCs w:val="24"/>
                <w:lang w:eastAsia="lt-LT"/>
              </w:rPr>
              <w:t>0,0161</w:t>
            </w:r>
            <w:r w:rsidR="00B61150">
              <w:rPr>
                <w:szCs w:val="24"/>
                <w:lang w:eastAsia="lt-LT"/>
              </w:rPr>
              <w:t xml:space="preserve"> </w:t>
            </w:r>
            <w:r w:rsidR="00B61150" w:rsidRPr="00B61150">
              <w:rPr>
                <w:b/>
                <w:bCs/>
                <w:szCs w:val="24"/>
                <w:lang w:eastAsia="lt-LT"/>
              </w:rPr>
              <w:t>0,0142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976A" w14:textId="77777777" w:rsidR="00D76C96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B61150">
              <w:rPr>
                <w:strike/>
                <w:szCs w:val="24"/>
                <w:lang w:eastAsia="lt-LT"/>
              </w:rPr>
              <w:t>0,0034</w:t>
            </w:r>
          </w:p>
          <w:p w14:paraId="48E358B9" w14:textId="42CFB216" w:rsidR="00B61150" w:rsidRPr="00B61150" w:rsidRDefault="00B61150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b/>
                <w:bCs/>
                <w:szCs w:val="24"/>
              </w:rPr>
            </w:pPr>
            <w:r w:rsidRPr="00B61150">
              <w:rPr>
                <w:b/>
                <w:bCs/>
                <w:szCs w:val="24"/>
              </w:rPr>
              <w:t>0,003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83B4" w14:textId="2CEF5CBC" w:rsidR="00D76C96" w:rsidRPr="001A1D16" w:rsidRDefault="00D76C96" w:rsidP="00D6737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Cs w:val="24"/>
              </w:rPr>
            </w:pPr>
            <w:r w:rsidRPr="00B61150">
              <w:rPr>
                <w:strike/>
                <w:szCs w:val="24"/>
                <w:lang w:eastAsia="lt-LT"/>
              </w:rPr>
              <w:t>0,0195</w:t>
            </w:r>
            <w:r w:rsidR="001A1D16">
              <w:rPr>
                <w:szCs w:val="24"/>
                <w:lang w:eastAsia="lt-LT"/>
              </w:rPr>
              <w:t xml:space="preserve"> </w:t>
            </w:r>
            <w:r w:rsidR="001A1D16" w:rsidRPr="001A1D16">
              <w:rPr>
                <w:b/>
                <w:bCs/>
                <w:szCs w:val="24"/>
                <w:lang w:eastAsia="lt-LT"/>
              </w:rPr>
              <w:t>0,0172</w:t>
            </w:r>
          </w:p>
        </w:tc>
      </w:tr>
    </w:tbl>
    <w:p w14:paraId="69700C02" w14:textId="77777777" w:rsidR="00D76C96" w:rsidRPr="002E5F01" w:rsidRDefault="00D76C96" w:rsidP="00D76C96">
      <w:pPr>
        <w:tabs>
          <w:tab w:val="center" w:pos="4819"/>
          <w:tab w:val="right" w:pos="9638"/>
        </w:tabs>
        <w:jc w:val="both"/>
        <w:rPr>
          <w:sz w:val="22"/>
          <w:szCs w:val="22"/>
        </w:rPr>
      </w:pPr>
      <w:r w:rsidRPr="00E60A58">
        <w:rPr>
          <w:sz w:val="22"/>
          <w:szCs w:val="22"/>
        </w:rPr>
        <w:t>*</w:t>
      </w:r>
      <w:r w:rsidRPr="002E5F01">
        <w:rPr>
          <w:sz w:val="22"/>
          <w:szCs w:val="22"/>
        </w:rPr>
        <w:t>daugiabučio gyvenamojo namo dydis, išreikštas namo suminiu butų ir kitų patalpų naudinguoju plotu.</w:t>
      </w:r>
    </w:p>
    <w:p w14:paraId="0A899EF8" w14:textId="77777777" w:rsidR="00D76C96" w:rsidRDefault="00D76C96" w:rsidP="00D76C96">
      <w:pPr>
        <w:rPr>
          <w:sz w:val="10"/>
          <w:szCs w:val="10"/>
        </w:rPr>
      </w:pPr>
    </w:p>
    <w:p w14:paraId="5CA43555" w14:textId="77777777" w:rsidR="00D76C96" w:rsidRDefault="00D76C96" w:rsidP="00D76C96">
      <w:pPr>
        <w:tabs>
          <w:tab w:val="center" w:pos="4819"/>
          <w:tab w:val="right" w:pos="9638"/>
        </w:tabs>
        <w:ind w:firstLine="709"/>
        <w:jc w:val="both"/>
        <w:rPr>
          <w:szCs w:val="24"/>
        </w:rPr>
      </w:pPr>
    </w:p>
    <w:p w14:paraId="229EE249" w14:textId="77777777" w:rsidR="00D76C96" w:rsidRPr="0039251B" w:rsidRDefault="00D76C96" w:rsidP="00D76C96">
      <w:pPr>
        <w:tabs>
          <w:tab w:val="center" w:pos="4819"/>
          <w:tab w:val="right" w:pos="9638"/>
        </w:tabs>
        <w:ind w:firstLine="709"/>
        <w:jc w:val="both"/>
        <w:rPr>
          <w:szCs w:val="24"/>
        </w:rPr>
      </w:pPr>
      <w:r w:rsidRPr="0039251B">
        <w:rPr>
          <w:szCs w:val="24"/>
        </w:rPr>
        <w:t xml:space="preserve">5. </w:t>
      </w:r>
      <w:r>
        <w:rPr>
          <w:szCs w:val="24"/>
        </w:rPr>
        <w:t>S</w:t>
      </w:r>
      <w:r w:rsidRPr="0039251B">
        <w:rPr>
          <w:szCs w:val="24"/>
        </w:rPr>
        <w:t xml:space="preserve">avivaldybės daugiabučių gyvenamųjų namų techninės priežiūros </w:t>
      </w:r>
      <w:r>
        <w:rPr>
          <w:szCs w:val="24"/>
        </w:rPr>
        <w:t>m</w:t>
      </w:r>
      <w:r w:rsidRPr="0039251B">
        <w:rPr>
          <w:szCs w:val="24"/>
        </w:rPr>
        <w:t>aksimalūs tarifai didinami arba mažinami pagal namo techninės priežiūros ypatumus atitinkamais koeficientais:</w:t>
      </w:r>
    </w:p>
    <w:tbl>
      <w:tblPr>
        <w:tblW w:w="9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21"/>
        <w:gridCol w:w="6663"/>
        <w:gridCol w:w="1855"/>
      </w:tblGrid>
      <w:tr w:rsidR="00D76C96" w:rsidRPr="0039251B" w14:paraId="066412F3" w14:textId="77777777" w:rsidTr="00D6737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D48" w14:textId="77777777" w:rsidR="00D76C96" w:rsidRPr="0039251B" w:rsidRDefault="00D76C96" w:rsidP="00D6737F">
            <w:pPr>
              <w:jc w:val="center"/>
              <w:rPr>
                <w:b/>
                <w:szCs w:val="24"/>
              </w:rPr>
            </w:pPr>
            <w:r w:rsidRPr="0039251B">
              <w:rPr>
                <w:b/>
                <w:szCs w:val="24"/>
              </w:rPr>
              <w:t>Eil. Nr.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16EE" w14:textId="77777777" w:rsidR="00D76C96" w:rsidRPr="0039251B" w:rsidRDefault="00D76C96" w:rsidP="00D6737F">
            <w:pPr>
              <w:jc w:val="center"/>
              <w:rPr>
                <w:rFonts w:eastAsia="Calibri"/>
                <w:b/>
                <w:szCs w:val="24"/>
              </w:rPr>
            </w:pPr>
            <w:r w:rsidRPr="0039251B">
              <w:rPr>
                <w:b/>
                <w:szCs w:val="24"/>
              </w:rPr>
              <w:t>Namo ypatumai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EC8" w14:textId="77777777" w:rsidR="00D76C96" w:rsidRPr="0039251B" w:rsidRDefault="00D76C96" w:rsidP="00D6737F">
            <w:pPr>
              <w:jc w:val="center"/>
              <w:rPr>
                <w:b/>
                <w:szCs w:val="24"/>
              </w:rPr>
            </w:pPr>
            <w:r w:rsidRPr="0039251B">
              <w:rPr>
                <w:b/>
                <w:szCs w:val="24"/>
              </w:rPr>
              <w:t>Koeficientas</w:t>
            </w:r>
            <w:r w:rsidRPr="00E60A58">
              <w:rPr>
                <w:rFonts w:eastAsia="Andale Sans UI" w:cs="Tahoma"/>
                <w:szCs w:val="24"/>
                <w:lang w:bidi="en-US"/>
              </w:rPr>
              <w:t xml:space="preserve"> </w:t>
            </w:r>
            <w:proofErr w:type="spellStart"/>
            <w:r w:rsidRPr="00E60A58">
              <w:rPr>
                <w:rFonts w:eastAsia="Andale Sans UI" w:cs="Tahoma"/>
                <w:szCs w:val="24"/>
                <w:lang w:bidi="en-US"/>
              </w:rPr>
              <w:t>k</w:t>
            </w:r>
            <w:r w:rsidRPr="00E60A58">
              <w:rPr>
                <w:rFonts w:eastAsia="Andale Sans UI" w:cs="Tahoma"/>
                <w:szCs w:val="24"/>
                <w:vertAlign w:val="subscript"/>
                <w:lang w:bidi="en-US"/>
              </w:rPr>
              <w:t>y</w:t>
            </w:r>
            <w:proofErr w:type="spellEnd"/>
          </w:p>
        </w:tc>
      </w:tr>
      <w:tr w:rsidR="00D76C96" w:rsidRPr="0039251B" w14:paraId="6C1640A2" w14:textId="77777777" w:rsidTr="00D6737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A428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6EFF" w14:textId="77777777" w:rsidR="00D76C96" w:rsidRPr="0039251B" w:rsidRDefault="00D76C96" w:rsidP="00D6737F">
            <w:pPr>
              <w:jc w:val="both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Namai, kuriuose neįrengta bendroji geriamojo vandens tiekimo inžinerinė sistema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E5A8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0,97</w:t>
            </w:r>
          </w:p>
        </w:tc>
      </w:tr>
      <w:tr w:rsidR="00D76C96" w:rsidRPr="0039251B" w14:paraId="181B7CD3" w14:textId="77777777" w:rsidTr="00D6737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888E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7340" w14:textId="77777777" w:rsidR="00D76C96" w:rsidRPr="0039251B" w:rsidRDefault="00D76C96" w:rsidP="00D6737F">
            <w:pPr>
              <w:jc w:val="both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Namai, kuriuose neįrengta bendroji nuotekų šalinimo inžinerinė sistema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128D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0,97</w:t>
            </w:r>
          </w:p>
        </w:tc>
      </w:tr>
      <w:tr w:rsidR="00D76C96" w:rsidRPr="0039251B" w14:paraId="323BB60B" w14:textId="77777777" w:rsidTr="00D6737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56B5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5677" w14:textId="77777777" w:rsidR="00D76C96" w:rsidRPr="0039251B" w:rsidRDefault="00D76C96" w:rsidP="00D6737F">
            <w:pPr>
              <w:jc w:val="both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Namai, kuriuose neįrengta bendroji elektros inžinerinė sistema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DEAF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0,98</w:t>
            </w:r>
          </w:p>
        </w:tc>
      </w:tr>
      <w:tr w:rsidR="00D76C96" w:rsidRPr="0039251B" w14:paraId="52AA78A2" w14:textId="77777777" w:rsidTr="00D6737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8F00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C605" w14:textId="77777777" w:rsidR="00D76C96" w:rsidRPr="0039251B" w:rsidRDefault="00D76C96" w:rsidP="00D6737F">
            <w:pPr>
              <w:jc w:val="both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Namai, kuriuose nėra bendrojo naudojimo patalpų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18C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0,98</w:t>
            </w:r>
          </w:p>
        </w:tc>
      </w:tr>
      <w:tr w:rsidR="00D76C96" w:rsidRPr="0039251B" w14:paraId="6D916B2F" w14:textId="77777777" w:rsidTr="00D6737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B158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7CA6" w14:textId="77777777" w:rsidR="00D76C96" w:rsidRPr="0039251B" w:rsidRDefault="00D76C96" w:rsidP="00D6737F">
            <w:pPr>
              <w:jc w:val="both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Namai be išskirtinių techninės priežiūros ypatumų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B38F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1,00</w:t>
            </w:r>
          </w:p>
        </w:tc>
      </w:tr>
      <w:tr w:rsidR="00D76C96" w:rsidRPr="0039251B" w14:paraId="77510A38" w14:textId="77777777" w:rsidTr="00D6737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DC09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501D" w14:textId="77777777" w:rsidR="00D76C96" w:rsidRPr="0039251B" w:rsidRDefault="00D76C96" w:rsidP="00D6737F">
            <w:pPr>
              <w:jc w:val="both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Namai, kuriuose įrengta bendroji saugos ir ryšių sistema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3257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1,01</w:t>
            </w:r>
          </w:p>
        </w:tc>
      </w:tr>
      <w:tr w:rsidR="00D76C96" w:rsidRPr="0039251B" w14:paraId="0E6E43AA" w14:textId="77777777" w:rsidTr="00D6737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05A5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7C29" w14:textId="77777777" w:rsidR="00D76C96" w:rsidRPr="0039251B" w:rsidRDefault="00D76C96" w:rsidP="00D6737F">
            <w:pPr>
              <w:jc w:val="both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Namai, kurių stogas – šlaitinis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F60D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1,15</w:t>
            </w:r>
          </w:p>
        </w:tc>
      </w:tr>
      <w:tr w:rsidR="00D76C96" w:rsidRPr="0039251B" w14:paraId="01DED2E1" w14:textId="77777777" w:rsidTr="00D6737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9CA9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D94F" w14:textId="77777777" w:rsidR="00D76C96" w:rsidRPr="0039251B" w:rsidRDefault="00D76C96" w:rsidP="00D6737F">
            <w:pPr>
              <w:jc w:val="both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Bendrabučio tipo namai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8457" w14:textId="77777777" w:rsidR="00D76C96" w:rsidRPr="0039251B" w:rsidRDefault="00D76C96" w:rsidP="00D6737F">
            <w:pPr>
              <w:jc w:val="center"/>
              <w:rPr>
                <w:rFonts w:eastAsia="Calibri"/>
                <w:szCs w:val="24"/>
              </w:rPr>
            </w:pPr>
            <w:r w:rsidRPr="0039251B">
              <w:rPr>
                <w:szCs w:val="24"/>
              </w:rPr>
              <w:t>1,15</w:t>
            </w:r>
          </w:p>
        </w:tc>
      </w:tr>
    </w:tbl>
    <w:p w14:paraId="5C4CA9F9" w14:textId="77777777" w:rsidR="00D76C96" w:rsidRPr="00D76C96" w:rsidRDefault="00D76C96" w:rsidP="00D76C96">
      <w:pPr>
        <w:tabs>
          <w:tab w:val="center" w:pos="4819"/>
          <w:tab w:val="right" w:pos="9638"/>
        </w:tabs>
        <w:jc w:val="center"/>
        <w:rPr>
          <w:sz w:val="28"/>
        </w:rPr>
      </w:pPr>
      <w:r>
        <w:rPr>
          <w:sz w:val="26"/>
          <w:szCs w:val="26"/>
        </w:rPr>
        <w:t>__________</w:t>
      </w:r>
      <w:r w:rsidRPr="00D76C96">
        <w:rPr>
          <w:sz w:val="26"/>
          <w:szCs w:val="26"/>
        </w:rPr>
        <w:t>_________</w:t>
      </w:r>
    </w:p>
    <w:sectPr w:rsidR="00D76C96" w:rsidRPr="00D76C96" w:rsidSect="000634AB">
      <w:headerReference w:type="first" r:id="rId8"/>
      <w:type w:val="continuous"/>
      <w:pgSz w:w="11906" w:h="16838" w:code="9"/>
      <w:pgMar w:top="567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1735" w14:textId="77777777" w:rsidR="00D6737F" w:rsidRDefault="00D6737F">
      <w:r>
        <w:separator/>
      </w:r>
    </w:p>
  </w:endnote>
  <w:endnote w:type="continuationSeparator" w:id="0">
    <w:p w14:paraId="5A19EDBA" w14:textId="77777777" w:rsidR="00D6737F" w:rsidRDefault="00D6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A40F" w14:textId="77777777" w:rsidR="00D6737F" w:rsidRDefault="00D6737F">
      <w:r>
        <w:separator/>
      </w:r>
    </w:p>
  </w:footnote>
  <w:footnote w:type="continuationSeparator" w:id="0">
    <w:p w14:paraId="1650378F" w14:textId="77777777" w:rsidR="00D6737F" w:rsidRDefault="00D6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089D" w14:textId="77777777" w:rsidR="000F3306" w:rsidRDefault="0006611A">
    <w:pPr>
      <w:pStyle w:val="Antrats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6A2A25" wp14:editId="36DFA87B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F44C2" w14:textId="3283BB00" w:rsidR="000F3306" w:rsidRDefault="000F330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A2A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SM8wEAAMk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" stroked="f" strokecolor="blue">
              <v:textbox>
                <w:txbxContent>
                  <w:p w14:paraId="3D4F44C2" w14:textId="3283BB00" w:rsidR="000F3306" w:rsidRDefault="000F3306"/>
                </w:txbxContent>
              </v:textbox>
            </v:shape>
          </w:pict>
        </mc:Fallback>
      </mc:AlternateContent>
    </w:r>
  </w:p>
  <w:p w14:paraId="31164069" w14:textId="77777777" w:rsidR="000F3306" w:rsidRDefault="000F3306">
    <w:pPr>
      <w:pStyle w:val="Antrats"/>
    </w:pPr>
  </w:p>
  <w:p w14:paraId="3DB1B9A9" w14:textId="643AD5B8" w:rsidR="000F3306" w:rsidRDefault="000634AB">
    <w:pPr>
      <w:pStyle w:val="Antrats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BB0"/>
    <w:multiLevelType w:val="hybridMultilevel"/>
    <w:tmpl w:val="1EEA51D4"/>
    <w:lvl w:ilvl="0" w:tplc="FE06B2A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9F27D4"/>
    <w:multiLevelType w:val="hybridMultilevel"/>
    <w:tmpl w:val="45D6917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8A0912"/>
    <w:multiLevelType w:val="hybridMultilevel"/>
    <w:tmpl w:val="68503CD2"/>
    <w:lvl w:ilvl="0" w:tplc="AC2C842A">
      <w:start w:val="1"/>
      <w:numFmt w:val="decimal"/>
      <w:lvlText w:val="%1."/>
      <w:lvlJc w:val="left"/>
      <w:pPr>
        <w:tabs>
          <w:tab w:val="num" w:pos="1081"/>
        </w:tabs>
        <w:ind w:left="247" w:hanging="134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4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18"/>
    <w:rsid w:val="000057E5"/>
    <w:rsid w:val="00031989"/>
    <w:rsid w:val="00040B00"/>
    <w:rsid w:val="000634AB"/>
    <w:rsid w:val="0006611A"/>
    <w:rsid w:val="000F3306"/>
    <w:rsid w:val="0017220A"/>
    <w:rsid w:val="001A1D16"/>
    <w:rsid w:val="003B5018"/>
    <w:rsid w:val="004004C1"/>
    <w:rsid w:val="004F6F73"/>
    <w:rsid w:val="00697742"/>
    <w:rsid w:val="00710040"/>
    <w:rsid w:val="008A6EFA"/>
    <w:rsid w:val="00A14339"/>
    <w:rsid w:val="00AB35DC"/>
    <w:rsid w:val="00B61150"/>
    <w:rsid w:val="00D25E1C"/>
    <w:rsid w:val="00D6737F"/>
    <w:rsid w:val="00D76C96"/>
    <w:rsid w:val="00E97D54"/>
    <w:rsid w:val="00EA0F79"/>
    <w:rsid w:val="00F17A92"/>
    <w:rsid w:val="00F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BE2ED15"/>
  <w15:chartTrackingRefBased/>
  <w15:docId w15:val="{38E653E3-72EC-49A7-AF24-26F6F29C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pPr>
      <w:jc w:val="both"/>
    </w:pPr>
  </w:style>
  <w:style w:type="paragraph" w:customStyle="1" w:styleId="Pagrindinistekstas1">
    <w:name w:val="Pagrindinis tekstas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rPr>
      <w:sz w:val="24"/>
      <w:lang w:val="lt-LT" w:eastAsia="en-US" w:bidi="ar-SA"/>
    </w:rPr>
  </w:style>
  <w:style w:type="paragraph" w:styleId="Pagrindiniotekstotrauka">
    <w:name w:val="Body Text Indent"/>
    <w:basedOn w:val="prastasis"/>
    <w:link w:val="PagrindiniotekstotraukaDiagrama"/>
    <w:uiPriority w:val="99"/>
    <w:pPr>
      <w:spacing w:after="120"/>
      <w:ind w:left="283"/>
    </w:pPr>
    <w:rPr>
      <w:lang w:eastAsia="x-none"/>
    </w:rPr>
  </w:style>
  <w:style w:type="character" w:customStyle="1" w:styleId="PagrindiniotekstotraukaDiagrama">
    <w:name w:val="Pagrindinio teksto įtrauka Diagrama"/>
    <w:link w:val="Pagrindiniotekstotrauka"/>
    <w:uiPriority w:val="99"/>
    <w:rPr>
      <w:sz w:val="24"/>
      <w:lang w:val="lt-LT"/>
    </w:rPr>
  </w:style>
  <w:style w:type="paragraph" w:customStyle="1" w:styleId="Sraopastraipa1">
    <w:name w:val="Sąrašo pastraipa1"/>
    <w:basedOn w:val="prastasis"/>
    <w:uiPriority w:val="34"/>
    <w:qFormat/>
    <w:pPr>
      <w:ind w:left="720"/>
    </w:pPr>
  </w:style>
  <w:style w:type="paragraph" w:customStyle="1" w:styleId="ISTATYMAS">
    <w:name w:val="ISTATYMAS"/>
    <w:basedOn w:val="prastasis"/>
    <w:link w:val="ISTATYMASChar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Pr>
      <w:color w:val="000000"/>
      <w:lang w:val="en-GB"/>
    </w:rPr>
  </w:style>
  <w:style w:type="character" w:customStyle="1" w:styleId="antr">
    <w:name w:val="antr"/>
    <w:rPr>
      <w:rFonts w:ascii="Times New Roman" w:hAnsi="Times New Roman" w:cs="Times New Roman"/>
      <w:b/>
      <w:caps/>
      <w:sz w:val="24"/>
    </w:rPr>
  </w:style>
  <w:style w:type="paragraph" w:styleId="Pavadinimas">
    <w:name w:val="Title"/>
    <w:basedOn w:val="prastasis"/>
    <w:link w:val="PavadinimasDiagrama"/>
    <w:uiPriority w:val="99"/>
    <w:qFormat/>
    <w:rsid w:val="00E97D54"/>
    <w:pPr>
      <w:jc w:val="center"/>
    </w:pPr>
    <w:rPr>
      <w:b/>
      <w:bCs/>
      <w:szCs w:val="24"/>
    </w:rPr>
  </w:style>
  <w:style w:type="character" w:customStyle="1" w:styleId="PavadinimasDiagrama">
    <w:name w:val="Pavadinimas Diagrama"/>
    <w:link w:val="Pavadinimas"/>
    <w:uiPriority w:val="99"/>
    <w:rsid w:val="00E97D54"/>
    <w:rPr>
      <w:b/>
      <w:bCs/>
      <w:sz w:val="24"/>
      <w:szCs w:val="24"/>
      <w:lang w:eastAsia="en-US"/>
    </w:rPr>
  </w:style>
  <w:style w:type="paragraph" w:customStyle="1" w:styleId="Betarp1">
    <w:name w:val="Be tarpų1"/>
    <w:uiPriority w:val="99"/>
    <w:rsid w:val="00710040"/>
    <w:rPr>
      <w:sz w:val="24"/>
      <w:szCs w:val="24"/>
      <w:lang w:eastAsia="en-US"/>
    </w:rPr>
  </w:style>
  <w:style w:type="paragraph" w:styleId="prastasiniatinklio">
    <w:name w:val="Normal (Web)"/>
    <w:basedOn w:val="prastasis"/>
    <w:uiPriority w:val="99"/>
    <w:rsid w:val="00D25E1C"/>
    <w:pPr>
      <w:spacing w:before="100" w:beforeAutospacing="1" w:after="100" w:afterAutospacing="1"/>
    </w:pPr>
    <w:rPr>
      <w:szCs w:val="24"/>
      <w:lang w:val="en-US"/>
    </w:rPr>
  </w:style>
  <w:style w:type="character" w:styleId="Grietas">
    <w:name w:val="Strong"/>
    <w:uiPriority w:val="22"/>
    <w:qFormat/>
    <w:rsid w:val="004004C1"/>
    <w:rPr>
      <w:rFonts w:cs="Times New Roman"/>
      <w:b/>
    </w:rPr>
  </w:style>
  <w:style w:type="character" w:styleId="Hipersaitas">
    <w:name w:val="Hyperlink"/>
    <w:rsid w:val="00D76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EA2FF-25E8-4D64-8E5E-0E1D7E09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2644</Characters>
  <Application>Microsoft Office Word</Application>
  <DocSecurity>0</DocSecurity>
  <Lines>22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2968</CharactersWithSpaces>
  <SharedDoc>false</SharedDoc>
  <HLinks>
    <vt:vector size="6" baseType="variant"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http://10.254.0.253/Litlex/ll.dll?Tekstas=1&amp;Id=229045&amp;BF=1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2</cp:revision>
  <cp:lastPrinted>2014-10-07T12:04:00Z</cp:lastPrinted>
  <dcterms:created xsi:type="dcterms:W3CDTF">2022-02-04T10:08:00Z</dcterms:created>
  <dcterms:modified xsi:type="dcterms:W3CDTF">2022-02-04T10:08:00Z</dcterms:modified>
</cp:coreProperties>
</file>