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DEA7" w14:textId="64A88122" w:rsidR="005A7619" w:rsidRDefault="007C70E6" w:rsidP="007C70E6">
      <w:pPr>
        <w:pStyle w:val="Antrats"/>
        <w:tabs>
          <w:tab w:val="clear" w:pos="4153"/>
          <w:tab w:val="clear" w:pos="8306"/>
        </w:tabs>
        <w:jc w:val="both"/>
        <w:rPr>
          <w:color w:val="000000"/>
          <w:sz w:val="20"/>
        </w:rPr>
      </w:pPr>
      <w:r>
        <w:t xml:space="preserve">   </w:t>
      </w:r>
      <w:r>
        <w:tab/>
      </w:r>
      <w:r>
        <w:tab/>
      </w:r>
      <w:r>
        <w:tab/>
      </w:r>
      <w:r>
        <w:tab/>
      </w:r>
      <w:r>
        <w:tab/>
      </w:r>
      <w:r>
        <w:tab/>
        <w:t xml:space="preserve">   </w:t>
      </w:r>
      <w:r w:rsidR="005A7619">
        <w:rPr>
          <w:color w:val="000000"/>
          <w:sz w:val="20"/>
        </w:rPr>
        <w:t xml:space="preserve">Leidimų važiuoti </w:t>
      </w:r>
      <w:proofErr w:type="spellStart"/>
      <w:r w:rsidR="005A7619">
        <w:rPr>
          <w:color w:val="000000"/>
          <w:sz w:val="20"/>
        </w:rPr>
        <w:t>didžiagabaritinėmis</w:t>
      </w:r>
      <w:proofErr w:type="spellEnd"/>
      <w:r w:rsidR="005A7619">
        <w:rPr>
          <w:color w:val="000000"/>
          <w:sz w:val="20"/>
        </w:rPr>
        <w:t xml:space="preserve"> ir (ar) sunkiasvorėmis</w:t>
      </w:r>
    </w:p>
    <w:p w14:paraId="00657102" w14:textId="77777777" w:rsidR="005A7619" w:rsidRDefault="005A7619" w:rsidP="005A7619">
      <w:pPr>
        <w:ind w:left="4500"/>
        <w:jc w:val="both"/>
        <w:rPr>
          <w:color w:val="000000"/>
          <w:sz w:val="20"/>
        </w:rPr>
      </w:pPr>
      <w:r>
        <w:rPr>
          <w:color w:val="000000"/>
          <w:sz w:val="20"/>
        </w:rPr>
        <w:t>transporto priemonėmis Pasvalio rajono savivaldybės vietinės</w:t>
      </w:r>
    </w:p>
    <w:p w14:paraId="4EAD1704" w14:textId="77777777" w:rsidR="005A7619" w:rsidRDefault="005A7619" w:rsidP="005A7619">
      <w:pPr>
        <w:ind w:left="4500"/>
        <w:jc w:val="both"/>
        <w:rPr>
          <w:color w:val="000000"/>
          <w:sz w:val="20"/>
        </w:rPr>
      </w:pPr>
      <w:r>
        <w:rPr>
          <w:color w:val="000000"/>
          <w:sz w:val="20"/>
        </w:rPr>
        <w:t>reikšmės viešaisiais keliais išdavimo tvarkos aprašo</w:t>
      </w:r>
    </w:p>
    <w:p w14:paraId="6158E49F" w14:textId="77777777" w:rsidR="005A7619" w:rsidRDefault="005A7619" w:rsidP="005A7619">
      <w:pPr>
        <w:ind w:firstLine="4500"/>
        <w:jc w:val="both"/>
        <w:rPr>
          <w:color w:val="000000"/>
          <w:sz w:val="20"/>
        </w:rPr>
      </w:pPr>
      <w:r>
        <w:rPr>
          <w:color w:val="000000"/>
          <w:sz w:val="20"/>
        </w:rPr>
        <w:t>1 priedas</w:t>
      </w:r>
    </w:p>
    <w:p w14:paraId="2A478CC4" w14:textId="77777777" w:rsidR="005A7619" w:rsidRDefault="005A7619" w:rsidP="005A7619">
      <w:pPr>
        <w:overflowPunct w:val="0"/>
        <w:textAlignment w:val="baseline"/>
        <w:rPr>
          <w:szCs w:val="24"/>
        </w:rPr>
      </w:pPr>
    </w:p>
    <w:p w14:paraId="15F00F5A" w14:textId="77777777" w:rsidR="005A7619" w:rsidRDefault="005A7619" w:rsidP="005A7619">
      <w:pPr>
        <w:jc w:val="center"/>
        <w:rPr>
          <w:b/>
          <w:bCs/>
          <w:color w:val="000000"/>
          <w:szCs w:val="24"/>
          <w:shd w:val="clear" w:color="auto" w:fill="FFFFFF"/>
        </w:rPr>
      </w:pPr>
      <w:r>
        <w:rPr>
          <w:b/>
          <w:bCs/>
          <w:color w:val="000000"/>
          <w:szCs w:val="24"/>
          <w:shd w:val="clear" w:color="auto" w:fill="FFFFFF"/>
        </w:rPr>
        <w:t xml:space="preserve">MOKESČIO UŽ NAUDOJIMĄSI </w:t>
      </w:r>
      <w:r>
        <w:rPr>
          <w:b/>
          <w:color w:val="000000"/>
          <w:szCs w:val="24"/>
        </w:rPr>
        <w:t xml:space="preserve">SAVIVALDYBĖS </w:t>
      </w:r>
      <w:r>
        <w:rPr>
          <w:b/>
          <w:szCs w:val="24"/>
        </w:rPr>
        <w:t>VIETINĖS REIKŠMĖS VIEŠAISIAIS</w:t>
      </w:r>
      <w:r>
        <w:rPr>
          <w:b/>
          <w:bCs/>
          <w:color w:val="000000"/>
          <w:szCs w:val="24"/>
          <w:shd w:val="clear" w:color="auto" w:fill="FFFFFF"/>
        </w:rPr>
        <w:t xml:space="preserve"> KELIAIS TARIFAI IR MOKESČIO APSKAIČIAVIMO TVARKA</w:t>
      </w:r>
    </w:p>
    <w:p w14:paraId="3589A27F" w14:textId="77777777" w:rsidR="005A7619" w:rsidRDefault="005A7619" w:rsidP="007C70E6">
      <w:pPr>
        <w:spacing w:line="360" w:lineRule="auto"/>
        <w:jc w:val="both"/>
        <w:rPr>
          <w:b/>
          <w:bCs/>
          <w:color w:val="000000"/>
          <w:szCs w:val="24"/>
          <w:shd w:val="clear" w:color="auto" w:fill="FFFFFF"/>
        </w:rPr>
      </w:pPr>
    </w:p>
    <w:p w14:paraId="7C2BC1D1" w14:textId="77777777" w:rsidR="005A7619" w:rsidRDefault="005A7619" w:rsidP="007C70E6">
      <w:pPr>
        <w:ind w:firstLine="709"/>
        <w:jc w:val="both"/>
      </w:pPr>
      <w:r>
        <w:rPr>
          <w:shd w:val="clear" w:color="auto" w:fill="FFFFFF"/>
        </w:rPr>
        <w:t xml:space="preserve">1. Mokesčio už naudojimąsi </w:t>
      </w:r>
      <w:r>
        <w:t xml:space="preserve">savivaldybės vietinės reikšmės viešaisiais keliais </w:t>
      </w:r>
      <w:r>
        <w:rPr>
          <w:shd w:val="clear" w:color="auto" w:fill="FFFFFF"/>
        </w:rPr>
        <w:t xml:space="preserve">važiuojant </w:t>
      </w:r>
      <w:proofErr w:type="spellStart"/>
      <w:r>
        <w:rPr>
          <w:shd w:val="clear" w:color="auto" w:fill="FFFFFF"/>
        </w:rPr>
        <w:t>didžiagabaritėmis</w:t>
      </w:r>
      <w:proofErr w:type="spellEnd"/>
      <w:r>
        <w:rPr>
          <w:shd w:val="clear" w:color="auto" w:fill="FFFFFF"/>
        </w:rPr>
        <w:t xml:space="preserve"> motorinėmis transporto priemonėmis ar jų junginiais, kurių matmenys su kroviniu ar be jo yra didesni už didžiausiuosius leidžiamus naudojantis keliais transporto priemonių ar jų junginių matmenis (toliau – didžiausieji leidžiamieji matmenys), tarifai:</w:t>
      </w:r>
    </w:p>
    <w:p w14:paraId="35B76D68" w14:textId="77777777" w:rsidR="005A7619" w:rsidRDefault="005A7619" w:rsidP="007C70E6">
      <w:pPr>
        <w:jc w:val="both"/>
        <w:rPr>
          <w:b/>
        </w:rPr>
      </w:pPr>
    </w:p>
    <w:tbl>
      <w:tblPr>
        <w:tblW w:w="9529" w:type="dxa"/>
        <w:tblInd w:w="108" w:type="dxa"/>
        <w:tblCellMar>
          <w:left w:w="0" w:type="dxa"/>
          <w:right w:w="0" w:type="dxa"/>
        </w:tblCellMar>
        <w:tblLook w:val="0000" w:firstRow="0" w:lastRow="0" w:firstColumn="0" w:lastColumn="0" w:noHBand="0" w:noVBand="0"/>
      </w:tblPr>
      <w:tblGrid>
        <w:gridCol w:w="1011"/>
        <w:gridCol w:w="1286"/>
        <w:gridCol w:w="1276"/>
        <w:gridCol w:w="2427"/>
        <w:gridCol w:w="1843"/>
        <w:gridCol w:w="1686"/>
      </w:tblGrid>
      <w:tr w:rsidR="005A7619" w14:paraId="36080FB5" w14:textId="77777777" w:rsidTr="00493536">
        <w:tc>
          <w:tcPr>
            <w:tcW w:w="35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F9A2" w14:textId="77777777" w:rsidR="005A7619" w:rsidRDefault="005A7619" w:rsidP="007C70E6"/>
          <w:p w14:paraId="1631A74D" w14:textId="77777777" w:rsidR="005A7619" w:rsidRDefault="005A7619" w:rsidP="007C70E6">
            <w:pPr>
              <w:rPr>
                <w:b/>
              </w:rPr>
            </w:pPr>
            <w:r>
              <w:rPr>
                <w:b/>
                <w:color w:val="000000"/>
                <w:shd w:val="clear" w:color="auto" w:fill="FFFFFF"/>
              </w:rPr>
              <w:t>Didžiausieji leidžiamieji matmenys viršyti, cm</w:t>
            </w:r>
          </w:p>
        </w:tc>
        <w:tc>
          <w:tcPr>
            <w:tcW w:w="5956"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tcPr>
          <w:p w14:paraId="09EBFA96" w14:textId="77777777" w:rsidR="005A7619" w:rsidRDefault="005A7619" w:rsidP="007C70E6"/>
          <w:p w14:paraId="3CF8F627" w14:textId="77777777" w:rsidR="005A7619" w:rsidRDefault="005A7619" w:rsidP="007C70E6">
            <w:pPr>
              <w:rPr>
                <w:b/>
              </w:rPr>
            </w:pPr>
            <w:r>
              <w:rPr>
                <w:b/>
              </w:rPr>
              <w:t>Tarifai, eurais</w:t>
            </w:r>
          </w:p>
        </w:tc>
      </w:tr>
      <w:tr w:rsidR="005A7619" w14:paraId="225E05F2" w14:textId="77777777" w:rsidTr="00493536">
        <w:trPr>
          <w:trHeight w:val="539"/>
        </w:trPr>
        <w:tc>
          <w:tcPr>
            <w:tcW w:w="1011"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E4F6EEA" w14:textId="77777777" w:rsidR="005A7619" w:rsidRDefault="005A7619" w:rsidP="007C70E6"/>
          <w:p w14:paraId="785EF0E1" w14:textId="77777777" w:rsidR="005A7619" w:rsidRDefault="005A7619" w:rsidP="007C70E6">
            <w:r>
              <w:t>aukščio</w:t>
            </w:r>
          </w:p>
        </w:tc>
        <w:tc>
          <w:tcPr>
            <w:tcW w:w="1286" w:type="dxa"/>
            <w:tcBorders>
              <w:top w:val="nil"/>
              <w:left w:val="nil"/>
              <w:bottom w:val="single" w:sz="4" w:space="0" w:color="auto"/>
              <w:right w:val="single" w:sz="4" w:space="0" w:color="auto"/>
            </w:tcBorders>
            <w:tcMar>
              <w:top w:w="0" w:type="dxa"/>
              <w:left w:w="108" w:type="dxa"/>
              <w:bottom w:w="0" w:type="dxa"/>
              <w:right w:w="108" w:type="dxa"/>
            </w:tcMar>
          </w:tcPr>
          <w:p w14:paraId="6D4BDAE7" w14:textId="77777777" w:rsidR="005A7619" w:rsidRDefault="005A7619" w:rsidP="007C70E6"/>
          <w:p w14:paraId="1219B0CE" w14:textId="77777777" w:rsidR="005A7619" w:rsidRDefault="005A7619" w:rsidP="007C70E6">
            <w:r>
              <w:t>pločio</w:t>
            </w:r>
          </w:p>
        </w:tc>
        <w:tc>
          <w:tcPr>
            <w:tcW w:w="1276" w:type="dxa"/>
            <w:tcBorders>
              <w:top w:val="nil"/>
              <w:left w:val="nil"/>
              <w:bottom w:val="single" w:sz="4" w:space="0" w:color="auto"/>
              <w:right w:val="single" w:sz="4" w:space="0" w:color="auto"/>
            </w:tcBorders>
            <w:tcMar>
              <w:top w:w="0" w:type="dxa"/>
              <w:left w:w="108" w:type="dxa"/>
              <w:bottom w:w="0" w:type="dxa"/>
              <w:right w:w="108" w:type="dxa"/>
            </w:tcMar>
          </w:tcPr>
          <w:p w14:paraId="7EA07D10" w14:textId="77777777" w:rsidR="005A7619" w:rsidRDefault="005A7619" w:rsidP="007C70E6"/>
          <w:p w14:paraId="6DEAD1C9" w14:textId="77777777" w:rsidR="005A7619" w:rsidRDefault="005A7619" w:rsidP="007C70E6">
            <w:r>
              <w:t>ilgio</w:t>
            </w:r>
          </w:p>
        </w:tc>
        <w:tc>
          <w:tcPr>
            <w:tcW w:w="2427" w:type="dxa"/>
            <w:tcBorders>
              <w:top w:val="nil"/>
              <w:left w:val="nil"/>
              <w:bottom w:val="single" w:sz="4" w:space="0" w:color="auto"/>
              <w:right w:val="single" w:sz="4" w:space="0" w:color="auto"/>
            </w:tcBorders>
            <w:tcMar>
              <w:top w:w="0" w:type="dxa"/>
              <w:left w:w="108" w:type="dxa"/>
              <w:bottom w:w="0" w:type="dxa"/>
              <w:right w:w="108" w:type="dxa"/>
            </w:tcMar>
          </w:tcPr>
          <w:p w14:paraId="647EF957" w14:textId="77777777" w:rsidR="005A7619" w:rsidRDefault="005A7619" w:rsidP="007C70E6"/>
          <w:p w14:paraId="7630590A" w14:textId="77777777" w:rsidR="005A7619" w:rsidRDefault="005A7619" w:rsidP="007C70E6">
            <w:r>
              <w:t>vienkartiniai, 10 km</w:t>
            </w:r>
          </w:p>
        </w:tc>
        <w:tc>
          <w:tcPr>
            <w:tcW w:w="1843" w:type="dxa"/>
            <w:tcBorders>
              <w:top w:val="nil"/>
              <w:left w:val="nil"/>
              <w:bottom w:val="single" w:sz="4" w:space="0" w:color="auto"/>
              <w:right w:val="single" w:sz="4" w:space="0" w:color="auto"/>
            </w:tcBorders>
            <w:tcMar>
              <w:top w:w="0" w:type="dxa"/>
              <w:left w:w="108" w:type="dxa"/>
              <w:bottom w:w="0" w:type="dxa"/>
              <w:right w:w="108" w:type="dxa"/>
            </w:tcMar>
          </w:tcPr>
          <w:p w14:paraId="37D4DE0D" w14:textId="77777777" w:rsidR="005A7619" w:rsidRDefault="005A7619" w:rsidP="007C70E6"/>
          <w:p w14:paraId="7C5777A7" w14:textId="77777777" w:rsidR="005A7619" w:rsidRDefault="005A7619" w:rsidP="007C70E6">
            <w:r>
              <w:t>mėnesio</w:t>
            </w:r>
          </w:p>
        </w:tc>
        <w:tc>
          <w:tcPr>
            <w:tcW w:w="1686" w:type="dxa"/>
            <w:tcBorders>
              <w:top w:val="nil"/>
              <w:left w:val="nil"/>
              <w:bottom w:val="single" w:sz="4" w:space="0" w:color="auto"/>
              <w:right w:val="single" w:sz="4" w:space="0" w:color="auto"/>
            </w:tcBorders>
            <w:tcMar>
              <w:top w:w="0" w:type="dxa"/>
              <w:left w:w="108" w:type="dxa"/>
              <w:bottom w:w="0" w:type="dxa"/>
              <w:right w:w="108" w:type="dxa"/>
            </w:tcMar>
          </w:tcPr>
          <w:p w14:paraId="42964731" w14:textId="77777777" w:rsidR="005A7619" w:rsidRDefault="005A7619" w:rsidP="007C70E6"/>
          <w:p w14:paraId="1A35F0A7" w14:textId="77777777" w:rsidR="005A7619" w:rsidRDefault="005A7619" w:rsidP="007C70E6">
            <w:r>
              <w:t>metų</w:t>
            </w:r>
          </w:p>
        </w:tc>
      </w:tr>
      <w:tr w:rsidR="005A7619" w14:paraId="62D1301B" w14:textId="77777777" w:rsidTr="00493536">
        <w:tc>
          <w:tcPr>
            <w:tcW w:w="1011"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C16CF23" w14:textId="77777777" w:rsidR="005A7619" w:rsidRDefault="005A7619" w:rsidP="007C70E6"/>
          <w:p w14:paraId="62152A5C" w14:textId="77777777" w:rsidR="005A7619" w:rsidRDefault="005A7619" w:rsidP="007C70E6">
            <w:r>
              <w:t>-</w:t>
            </w:r>
          </w:p>
        </w:tc>
        <w:tc>
          <w:tcPr>
            <w:tcW w:w="1286" w:type="dxa"/>
            <w:tcBorders>
              <w:top w:val="nil"/>
              <w:left w:val="nil"/>
              <w:bottom w:val="single" w:sz="4" w:space="0" w:color="auto"/>
              <w:right w:val="single" w:sz="4" w:space="0" w:color="auto"/>
            </w:tcBorders>
            <w:tcMar>
              <w:top w:w="0" w:type="dxa"/>
              <w:left w:w="108" w:type="dxa"/>
              <w:bottom w:w="0" w:type="dxa"/>
              <w:right w:w="108" w:type="dxa"/>
            </w:tcMar>
          </w:tcPr>
          <w:p w14:paraId="6106F18C" w14:textId="77777777" w:rsidR="005A7619" w:rsidRDefault="005A7619" w:rsidP="007C70E6"/>
          <w:p w14:paraId="626D77CD" w14:textId="77777777" w:rsidR="005A7619" w:rsidRDefault="005A7619" w:rsidP="007C70E6">
            <w:r>
              <w:t>10–20</w:t>
            </w:r>
          </w:p>
        </w:tc>
        <w:tc>
          <w:tcPr>
            <w:tcW w:w="1276" w:type="dxa"/>
            <w:tcBorders>
              <w:top w:val="nil"/>
              <w:left w:val="nil"/>
              <w:bottom w:val="single" w:sz="4" w:space="0" w:color="auto"/>
              <w:right w:val="single" w:sz="4" w:space="0" w:color="auto"/>
            </w:tcBorders>
            <w:tcMar>
              <w:top w:w="0" w:type="dxa"/>
              <w:left w:w="108" w:type="dxa"/>
              <w:bottom w:w="0" w:type="dxa"/>
              <w:right w:w="108" w:type="dxa"/>
            </w:tcMar>
          </w:tcPr>
          <w:p w14:paraId="1C99DB8D" w14:textId="77777777" w:rsidR="005A7619" w:rsidRDefault="005A7619" w:rsidP="007C70E6"/>
          <w:p w14:paraId="55886F29" w14:textId="77777777" w:rsidR="005A7619" w:rsidRDefault="005A7619" w:rsidP="007C70E6">
            <w:r>
              <w:t>-</w:t>
            </w:r>
          </w:p>
        </w:tc>
        <w:tc>
          <w:tcPr>
            <w:tcW w:w="2427" w:type="dxa"/>
            <w:tcBorders>
              <w:top w:val="nil"/>
              <w:left w:val="nil"/>
              <w:bottom w:val="single" w:sz="4" w:space="0" w:color="auto"/>
              <w:right w:val="single" w:sz="4" w:space="0" w:color="auto"/>
            </w:tcBorders>
            <w:tcMar>
              <w:top w:w="0" w:type="dxa"/>
              <w:left w:w="108" w:type="dxa"/>
              <w:bottom w:w="0" w:type="dxa"/>
              <w:right w:w="108" w:type="dxa"/>
            </w:tcMar>
            <w:vAlign w:val="bottom"/>
          </w:tcPr>
          <w:p w14:paraId="6E1D67E9" w14:textId="77777777" w:rsidR="005A7619" w:rsidRDefault="005A7619" w:rsidP="007C70E6">
            <w:pPr>
              <w:rPr>
                <w:color w:val="000000"/>
              </w:rPr>
            </w:pPr>
            <w:r>
              <w:rPr>
                <w:color w:val="000000"/>
              </w:rPr>
              <w:t>1,55</w:t>
            </w:r>
          </w:p>
        </w:tc>
        <w:tc>
          <w:tcPr>
            <w:tcW w:w="1843" w:type="dxa"/>
            <w:tcBorders>
              <w:top w:val="nil"/>
              <w:left w:val="nil"/>
              <w:bottom w:val="single" w:sz="4" w:space="0" w:color="auto"/>
              <w:right w:val="single" w:sz="4" w:space="0" w:color="auto"/>
            </w:tcBorders>
            <w:tcMar>
              <w:top w:w="0" w:type="dxa"/>
              <w:left w:w="108" w:type="dxa"/>
              <w:bottom w:w="0" w:type="dxa"/>
              <w:right w:w="108" w:type="dxa"/>
            </w:tcMar>
            <w:vAlign w:val="bottom"/>
          </w:tcPr>
          <w:p w14:paraId="792844AF" w14:textId="77777777" w:rsidR="005A7619" w:rsidRDefault="005A7619" w:rsidP="007C70E6">
            <w:pPr>
              <w:rPr>
                <w:color w:val="000000"/>
              </w:rPr>
            </w:pPr>
            <w:r>
              <w:rPr>
                <w:color w:val="000000"/>
              </w:rPr>
              <w:t>74</w:t>
            </w:r>
          </w:p>
        </w:tc>
        <w:tc>
          <w:tcPr>
            <w:tcW w:w="1686" w:type="dxa"/>
            <w:tcBorders>
              <w:top w:val="nil"/>
              <w:left w:val="nil"/>
              <w:bottom w:val="single" w:sz="4" w:space="0" w:color="auto"/>
              <w:right w:val="single" w:sz="4" w:space="0" w:color="auto"/>
            </w:tcBorders>
            <w:tcMar>
              <w:top w:w="0" w:type="dxa"/>
              <w:left w:w="108" w:type="dxa"/>
              <w:bottom w:w="0" w:type="dxa"/>
              <w:right w:w="108" w:type="dxa"/>
            </w:tcMar>
            <w:vAlign w:val="bottom"/>
          </w:tcPr>
          <w:p w14:paraId="18DFF546" w14:textId="77777777" w:rsidR="005A7619" w:rsidRDefault="005A7619" w:rsidP="007C70E6">
            <w:pPr>
              <w:rPr>
                <w:color w:val="000000"/>
              </w:rPr>
            </w:pPr>
            <w:r>
              <w:rPr>
                <w:color w:val="000000"/>
              </w:rPr>
              <w:t>371</w:t>
            </w:r>
          </w:p>
        </w:tc>
      </w:tr>
      <w:tr w:rsidR="005A7619" w14:paraId="43BFA2D8" w14:textId="77777777" w:rsidTr="00493536">
        <w:tc>
          <w:tcPr>
            <w:tcW w:w="1011"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E2F660F" w14:textId="77777777" w:rsidR="005A7619" w:rsidRDefault="005A7619" w:rsidP="007C70E6"/>
          <w:p w14:paraId="4B6B16A7" w14:textId="77777777" w:rsidR="005A7619" w:rsidRDefault="005A7619" w:rsidP="007C70E6">
            <w:r>
              <w:t>11–30</w:t>
            </w:r>
          </w:p>
        </w:tc>
        <w:tc>
          <w:tcPr>
            <w:tcW w:w="1286" w:type="dxa"/>
            <w:tcBorders>
              <w:top w:val="nil"/>
              <w:left w:val="nil"/>
              <w:bottom w:val="single" w:sz="4" w:space="0" w:color="auto"/>
              <w:right w:val="single" w:sz="4" w:space="0" w:color="auto"/>
            </w:tcBorders>
            <w:tcMar>
              <w:top w:w="0" w:type="dxa"/>
              <w:left w:w="108" w:type="dxa"/>
              <w:bottom w:w="0" w:type="dxa"/>
              <w:right w:w="108" w:type="dxa"/>
            </w:tcMar>
          </w:tcPr>
          <w:p w14:paraId="6650F043" w14:textId="77777777" w:rsidR="005A7619" w:rsidRDefault="005A7619" w:rsidP="007C70E6"/>
          <w:p w14:paraId="4A1E343F" w14:textId="77777777" w:rsidR="005A7619" w:rsidRDefault="005A7619" w:rsidP="007C70E6">
            <w:r>
              <w:t>21–60</w:t>
            </w:r>
          </w:p>
        </w:tc>
        <w:tc>
          <w:tcPr>
            <w:tcW w:w="1276" w:type="dxa"/>
            <w:tcBorders>
              <w:top w:val="nil"/>
              <w:left w:val="nil"/>
              <w:bottom w:val="single" w:sz="4" w:space="0" w:color="auto"/>
              <w:right w:val="single" w:sz="4" w:space="0" w:color="auto"/>
            </w:tcBorders>
            <w:tcMar>
              <w:top w:w="0" w:type="dxa"/>
              <w:left w:w="108" w:type="dxa"/>
              <w:bottom w:w="0" w:type="dxa"/>
              <w:right w:w="108" w:type="dxa"/>
            </w:tcMar>
          </w:tcPr>
          <w:p w14:paraId="03C74309" w14:textId="77777777" w:rsidR="005A7619" w:rsidRDefault="005A7619" w:rsidP="007C70E6"/>
          <w:p w14:paraId="0E636433" w14:textId="77777777" w:rsidR="005A7619" w:rsidRDefault="005A7619" w:rsidP="007C70E6">
            <w:r>
              <w:t>101–300</w:t>
            </w:r>
          </w:p>
        </w:tc>
        <w:tc>
          <w:tcPr>
            <w:tcW w:w="2427" w:type="dxa"/>
            <w:tcBorders>
              <w:top w:val="nil"/>
              <w:left w:val="nil"/>
              <w:bottom w:val="single" w:sz="4" w:space="0" w:color="auto"/>
              <w:right w:val="single" w:sz="4" w:space="0" w:color="auto"/>
            </w:tcBorders>
            <w:tcMar>
              <w:top w:w="0" w:type="dxa"/>
              <w:left w:w="108" w:type="dxa"/>
              <w:bottom w:w="0" w:type="dxa"/>
              <w:right w:w="108" w:type="dxa"/>
            </w:tcMar>
            <w:vAlign w:val="bottom"/>
          </w:tcPr>
          <w:p w14:paraId="1607A749" w14:textId="77777777" w:rsidR="005A7619" w:rsidRDefault="005A7619" w:rsidP="007C70E6">
            <w:pPr>
              <w:rPr>
                <w:color w:val="000000"/>
              </w:rPr>
            </w:pPr>
            <w:r>
              <w:rPr>
                <w:color w:val="000000"/>
              </w:rPr>
              <w:t>1,85</w:t>
            </w:r>
          </w:p>
        </w:tc>
        <w:tc>
          <w:tcPr>
            <w:tcW w:w="1843" w:type="dxa"/>
            <w:tcBorders>
              <w:top w:val="nil"/>
              <w:left w:val="nil"/>
              <w:bottom w:val="single" w:sz="4" w:space="0" w:color="auto"/>
              <w:right w:val="single" w:sz="4" w:space="0" w:color="auto"/>
            </w:tcBorders>
            <w:tcMar>
              <w:top w:w="0" w:type="dxa"/>
              <w:left w:w="108" w:type="dxa"/>
              <w:bottom w:w="0" w:type="dxa"/>
              <w:right w:w="108" w:type="dxa"/>
            </w:tcMar>
            <w:vAlign w:val="bottom"/>
          </w:tcPr>
          <w:p w14:paraId="3EA95C2F" w14:textId="77777777" w:rsidR="005A7619" w:rsidRDefault="005A7619" w:rsidP="007C70E6">
            <w:pPr>
              <w:rPr>
                <w:color w:val="000000"/>
              </w:rPr>
            </w:pPr>
            <w:r>
              <w:rPr>
                <w:color w:val="000000"/>
              </w:rPr>
              <w:t>88</w:t>
            </w:r>
          </w:p>
        </w:tc>
        <w:tc>
          <w:tcPr>
            <w:tcW w:w="1686" w:type="dxa"/>
            <w:tcBorders>
              <w:top w:val="nil"/>
              <w:left w:val="nil"/>
              <w:bottom w:val="single" w:sz="4" w:space="0" w:color="auto"/>
              <w:right w:val="single" w:sz="4" w:space="0" w:color="auto"/>
            </w:tcBorders>
            <w:tcMar>
              <w:top w:w="0" w:type="dxa"/>
              <w:left w:w="108" w:type="dxa"/>
              <w:bottom w:w="0" w:type="dxa"/>
              <w:right w:w="108" w:type="dxa"/>
            </w:tcMar>
            <w:vAlign w:val="bottom"/>
          </w:tcPr>
          <w:p w14:paraId="0242478D" w14:textId="77777777" w:rsidR="005A7619" w:rsidRDefault="005A7619" w:rsidP="007C70E6">
            <w:pPr>
              <w:rPr>
                <w:color w:val="000000"/>
              </w:rPr>
            </w:pPr>
            <w:r>
              <w:rPr>
                <w:color w:val="000000"/>
              </w:rPr>
              <w:t>443</w:t>
            </w:r>
          </w:p>
        </w:tc>
      </w:tr>
      <w:tr w:rsidR="005A7619" w14:paraId="7E8FB9D0" w14:textId="77777777" w:rsidTr="00493536">
        <w:tc>
          <w:tcPr>
            <w:tcW w:w="1011"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9D72246" w14:textId="77777777" w:rsidR="005A7619" w:rsidRDefault="005A7619" w:rsidP="007C70E6"/>
          <w:p w14:paraId="3D4A8DD4" w14:textId="77777777" w:rsidR="005A7619" w:rsidRDefault="005A7619" w:rsidP="007C70E6">
            <w:r>
              <w:t>31–50</w:t>
            </w:r>
          </w:p>
        </w:tc>
        <w:tc>
          <w:tcPr>
            <w:tcW w:w="1286" w:type="dxa"/>
            <w:tcBorders>
              <w:top w:val="nil"/>
              <w:left w:val="nil"/>
              <w:bottom w:val="single" w:sz="4" w:space="0" w:color="auto"/>
              <w:right w:val="single" w:sz="4" w:space="0" w:color="auto"/>
            </w:tcBorders>
            <w:tcMar>
              <w:top w:w="0" w:type="dxa"/>
              <w:left w:w="108" w:type="dxa"/>
              <w:bottom w:w="0" w:type="dxa"/>
              <w:right w:w="108" w:type="dxa"/>
            </w:tcMar>
          </w:tcPr>
          <w:p w14:paraId="702FD2E8" w14:textId="77777777" w:rsidR="005A7619" w:rsidRDefault="005A7619" w:rsidP="007C70E6"/>
          <w:p w14:paraId="75BB06C3" w14:textId="77777777" w:rsidR="005A7619" w:rsidRDefault="005A7619" w:rsidP="007C70E6">
            <w:r>
              <w:t>61–100</w:t>
            </w:r>
          </w:p>
        </w:tc>
        <w:tc>
          <w:tcPr>
            <w:tcW w:w="1276" w:type="dxa"/>
            <w:tcBorders>
              <w:top w:val="nil"/>
              <w:left w:val="nil"/>
              <w:bottom w:val="single" w:sz="4" w:space="0" w:color="auto"/>
              <w:right w:val="single" w:sz="4" w:space="0" w:color="auto"/>
            </w:tcBorders>
            <w:tcMar>
              <w:top w:w="0" w:type="dxa"/>
              <w:left w:w="108" w:type="dxa"/>
              <w:bottom w:w="0" w:type="dxa"/>
              <w:right w:w="108" w:type="dxa"/>
            </w:tcMar>
          </w:tcPr>
          <w:p w14:paraId="22FF6A0B" w14:textId="77777777" w:rsidR="005A7619" w:rsidRDefault="005A7619" w:rsidP="007C70E6"/>
          <w:p w14:paraId="3B93DD92" w14:textId="77777777" w:rsidR="005A7619" w:rsidRDefault="005A7619" w:rsidP="007C70E6">
            <w:r>
              <w:t>301–500</w:t>
            </w:r>
          </w:p>
        </w:tc>
        <w:tc>
          <w:tcPr>
            <w:tcW w:w="2427" w:type="dxa"/>
            <w:tcBorders>
              <w:top w:val="nil"/>
              <w:left w:val="nil"/>
              <w:bottom w:val="single" w:sz="4" w:space="0" w:color="auto"/>
              <w:right w:val="single" w:sz="4" w:space="0" w:color="auto"/>
            </w:tcBorders>
            <w:tcMar>
              <w:top w:w="0" w:type="dxa"/>
              <w:left w:w="108" w:type="dxa"/>
              <w:bottom w:w="0" w:type="dxa"/>
              <w:right w:w="108" w:type="dxa"/>
            </w:tcMar>
            <w:vAlign w:val="bottom"/>
          </w:tcPr>
          <w:p w14:paraId="32A7FF02" w14:textId="77777777" w:rsidR="005A7619" w:rsidRDefault="005A7619" w:rsidP="007C70E6">
            <w:pPr>
              <w:rPr>
                <w:color w:val="000000"/>
              </w:rPr>
            </w:pPr>
            <w:r>
              <w:rPr>
                <w:color w:val="000000"/>
              </w:rPr>
              <w:t>2,05</w:t>
            </w:r>
          </w:p>
        </w:tc>
        <w:tc>
          <w:tcPr>
            <w:tcW w:w="1843" w:type="dxa"/>
            <w:tcBorders>
              <w:top w:val="nil"/>
              <w:left w:val="nil"/>
              <w:bottom w:val="single" w:sz="4" w:space="0" w:color="auto"/>
              <w:right w:val="single" w:sz="4" w:space="0" w:color="auto"/>
            </w:tcBorders>
            <w:tcMar>
              <w:top w:w="0" w:type="dxa"/>
              <w:left w:w="108" w:type="dxa"/>
              <w:bottom w:w="0" w:type="dxa"/>
              <w:right w:w="108" w:type="dxa"/>
            </w:tcMar>
            <w:vAlign w:val="bottom"/>
          </w:tcPr>
          <w:p w14:paraId="71EEC8D0" w14:textId="77777777" w:rsidR="005A7619" w:rsidRDefault="005A7619" w:rsidP="007C70E6">
            <w:pPr>
              <w:rPr>
                <w:color w:val="000000"/>
              </w:rPr>
            </w:pPr>
            <w:r>
              <w:rPr>
                <w:color w:val="000000"/>
              </w:rPr>
              <w:t>98</w:t>
            </w:r>
          </w:p>
        </w:tc>
        <w:tc>
          <w:tcPr>
            <w:tcW w:w="1686" w:type="dxa"/>
            <w:tcBorders>
              <w:top w:val="nil"/>
              <w:left w:val="nil"/>
              <w:bottom w:val="single" w:sz="4" w:space="0" w:color="auto"/>
              <w:right w:val="single" w:sz="4" w:space="0" w:color="auto"/>
            </w:tcBorders>
            <w:tcMar>
              <w:top w:w="0" w:type="dxa"/>
              <w:left w:w="108" w:type="dxa"/>
              <w:bottom w:w="0" w:type="dxa"/>
              <w:right w:w="108" w:type="dxa"/>
            </w:tcMar>
            <w:vAlign w:val="bottom"/>
          </w:tcPr>
          <w:p w14:paraId="709AD2A3" w14:textId="77777777" w:rsidR="005A7619" w:rsidRDefault="005A7619" w:rsidP="007C70E6">
            <w:pPr>
              <w:rPr>
                <w:color w:val="000000"/>
              </w:rPr>
            </w:pPr>
            <w:r>
              <w:rPr>
                <w:color w:val="000000"/>
              </w:rPr>
              <w:t>493</w:t>
            </w:r>
          </w:p>
        </w:tc>
      </w:tr>
    </w:tbl>
    <w:p w14:paraId="6AD8517A" w14:textId="77777777" w:rsidR="005A7619" w:rsidRDefault="005A7619" w:rsidP="007C70E6">
      <w:pPr>
        <w:rPr>
          <w:sz w:val="14"/>
          <w:szCs w:val="14"/>
        </w:rPr>
      </w:pPr>
    </w:p>
    <w:p w14:paraId="45D67854" w14:textId="77777777" w:rsidR="004621A9" w:rsidRDefault="005A7619" w:rsidP="004621A9">
      <w:pPr>
        <w:ind w:firstLine="709"/>
        <w:jc w:val="both"/>
        <w:rPr>
          <w:color w:val="000000"/>
          <w:shd w:val="clear" w:color="auto" w:fill="FFFFFF"/>
        </w:rPr>
      </w:pPr>
      <w:r>
        <w:t xml:space="preserve">2. </w:t>
      </w:r>
      <w:r>
        <w:rPr>
          <w:color w:val="000000"/>
          <w:shd w:val="clear" w:color="auto" w:fill="FFFFFF"/>
        </w:rPr>
        <w:t xml:space="preserve">Jeigu transporto priemonės ar jų junginio matmenys su kroviniu ar be jo yra didesni už didžiausiuosius leidžiamuosius matmenis daugiau, negu nurodyta lentelėje, transporto priemonė ar jų junginys tampa ypač pavojingi saugiam eismui. Tokioms </w:t>
      </w:r>
      <w:proofErr w:type="spellStart"/>
      <w:r>
        <w:rPr>
          <w:color w:val="000000"/>
          <w:shd w:val="clear" w:color="auto" w:fill="FFFFFF"/>
        </w:rPr>
        <w:t>didžiagabaritėmis</w:t>
      </w:r>
      <w:proofErr w:type="spellEnd"/>
      <w:r>
        <w:rPr>
          <w:color w:val="000000"/>
          <w:shd w:val="clear" w:color="auto" w:fill="FFFFFF"/>
        </w:rPr>
        <w:t xml:space="preserve"> motorinėmis transporto priemonėms ar jų junginiams taikomas vienkartinis mokestis, kuris apskaičiuojamas taip: prie didžiausiojo ribinio tarifo pridedamas papildomas 0,28 euro mokestis už kiekvieno didžiausiojo leidžiamojo matmens viršijimą, t. y. už kiekvieną aukščio viršijimą 10 cm, pločio viršijimą 10 cm ar ilgio viršijimą 1 m, ir dauginama iš koeficiento 1,5. Visais atvejais, jeigu viršijami du ar visi trys matmenys, mokestis nustatomas sumuojant mokesčius už atskirų didžiausiųjų leidžiamųjų matmenų viršijimą</w:t>
      </w:r>
      <w:r w:rsidR="007C70E6">
        <w:rPr>
          <w:color w:val="000000"/>
          <w:shd w:val="clear" w:color="auto" w:fill="FFFFFF"/>
        </w:rPr>
        <w:t>.</w:t>
      </w:r>
    </w:p>
    <w:p w14:paraId="3CE54E9C" w14:textId="4FD2FF83" w:rsidR="004621A9" w:rsidRDefault="004621A9" w:rsidP="004621A9">
      <w:pPr>
        <w:ind w:firstLine="709"/>
        <w:jc w:val="both"/>
        <w:rPr>
          <w:shd w:val="clear" w:color="auto" w:fill="FFFFFF"/>
        </w:rPr>
      </w:pPr>
      <w:r>
        <w:rPr>
          <w:shd w:val="clear" w:color="auto" w:fill="FFFFFF"/>
        </w:rPr>
        <w:t xml:space="preserve">3. Mokesčio už naudojimąsi </w:t>
      </w:r>
      <w:r>
        <w:t>Savivaldybės vietinės reikšmės viešaisiais</w:t>
      </w:r>
      <w:r>
        <w:rPr>
          <w:color w:val="FF0000"/>
        </w:rPr>
        <w:t xml:space="preserve"> </w:t>
      </w:r>
      <w:r>
        <w:t>keliais</w:t>
      </w:r>
      <w:r>
        <w:rPr>
          <w:shd w:val="clear" w:color="auto" w:fill="FFFFFF"/>
        </w:rPr>
        <w:t xml:space="preserve"> sunkiasvorėmis motorinėmis transporto priemonėmis, kurių ašies (ašių) apkrova su kroviniu ar be jo yra didesnė už didžiausiąją leidžiamą naudojantis keliais transporto priemonių ar jų junginių ašies (ašių) apkrovą (toliau</w:t>
      </w:r>
      <w:r>
        <w:rPr>
          <w:color w:val="000000"/>
          <w:shd w:val="clear" w:color="auto" w:fill="FFFFFF"/>
        </w:rPr>
        <w:t xml:space="preserve"> </w:t>
      </w:r>
      <w:r>
        <w:rPr>
          <w:shd w:val="clear" w:color="auto" w:fill="FFFFFF"/>
        </w:rPr>
        <w:t>–</w:t>
      </w:r>
      <w:r>
        <w:rPr>
          <w:color w:val="000000"/>
          <w:shd w:val="clear" w:color="auto" w:fill="FFFFFF"/>
        </w:rPr>
        <w:t xml:space="preserve"> </w:t>
      </w:r>
      <w:r>
        <w:rPr>
          <w:shd w:val="clear" w:color="auto" w:fill="FFFFFF"/>
        </w:rPr>
        <w:t>didžiausioji leidžiamoji ašies (ašių) apkrova), tarifai:</w:t>
      </w:r>
    </w:p>
    <w:p w14:paraId="46888F08" w14:textId="3B023336" w:rsidR="004621A9" w:rsidRDefault="004621A9" w:rsidP="004621A9">
      <w:pPr>
        <w:ind w:firstLine="709"/>
        <w:jc w:val="both"/>
        <w:rPr>
          <w:shd w:val="clear" w:color="auto" w:fill="FFFFFF"/>
        </w:rPr>
      </w:pPr>
      <w:r>
        <w:rPr>
          <w:shd w:val="clear" w:color="auto" w:fill="FFFFFF"/>
        </w:rPr>
        <w:t>4. Mokestis nustatomas sumuojant mokesčius už kiekvienos ašies (ašių) didžiausiosios leidžiamosios ašies (ašių) apkrovos viršijimą.</w:t>
      </w:r>
    </w:p>
    <w:p w14:paraId="69199741" w14:textId="77777777" w:rsidR="0050526C" w:rsidRDefault="0050526C" w:rsidP="004621A9">
      <w:pPr>
        <w:ind w:firstLine="709"/>
        <w:jc w:val="both"/>
        <w:rPr>
          <w:lang w:eastAsia="lt-LT"/>
        </w:rPr>
      </w:pPr>
    </w:p>
    <w:tbl>
      <w:tblPr>
        <w:tblW w:w="9450" w:type="dxa"/>
        <w:tblCellMar>
          <w:left w:w="0" w:type="dxa"/>
          <w:right w:w="0" w:type="dxa"/>
        </w:tblCellMar>
        <w:tblLook w:val="0000" w:firstRow="0" w:lastRow="0" w:firstColumn="0" w:lastColumn="0" w:noHBand="0" w:noVBand="0"/>
      </w:tblPr>
      <w:tblGrid>
        <w:gridCol w:w="5960"/>
        <w:gridCol w:w="2398"/>
        <w:gridCol w:w="1092"/>
      </w:tblGrid>
      <w:tr w:rsidR="005A7619" w:rsidRPr="00175755" w14:paraId="19E5B628" w14:textId="77777777" w:rsidTr="00175755">
        <w:trPr>
          <w:cantSplit/>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59FD3" w14:textId="77777777" w:rsidR="005A7619" w:rsidRPr="00175755" w:rsidRDefault="005A7619" w:rsidP="00175755">
            <w:pPr>
              <w:jc w:val="center"/>
              <w:rPr>
                <w:b/>
                <w:bCs/>
              </w:rPr>
            </w:pPr>
            <w:r w:rsidRPr="00175755">
              <w:rPr>
                <w:b/>
                <w:bCs/>
              </w:rPr>
              <w:t>Didžiausioji leidžiamoji ašies (ašių) apkrova viršyta, t</w:t>
            </w:r>
          </w:p>
        </w:tc>
        <w:tc>
          <w:tcPr>
            <w:tcW w:w="0" w:type="auto"/>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14:paraId="1065511E" w14:textId="77777777" w:rsidR="005A7619" w:rsidRPr="00175755" w:rsidRDefault="005A7619" w:rsidP="00175755">
            <w:pPr>
              <w:jc w:val="center"/>
              <w:rPr>
                <w:b/>
                <w:bCs/>
              </w:rPr>
            </w:pPr>
            <w:r w:rsidRPr="00175755">
              <w:rPr>
                <w:b/>
                <w:bCs/>
              </w:rPr>
              <w:t>Tarifai, eurais</w:t>
            </w:r>
          </w:p>
        </w:tc>
      </w:tr>
      <w:tr w:rsidR="005A7619" w:rsidRPr="00175755" w14:paraId="3A41DE94" w14:textId="77777777" w:rsidTr="0017575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C89D03C" w14:textId="77777777" w:rsidR="005A7619" w:rsidRPr="00175755" w:rsidRDefault="005A7619" w:rsidP="00175755">
            <w:pPr>
              <w:jc w:val="center"/>
              <w:rPr>
                <w:b/>
                <w:bCs/>
              </w:rPr>
            </w:pPr>
          </w:p>
        </w:tc>
        <w:tc>
          <w:tcPr>
            <w:tcW w:w="0" w:type="auto"/>
            <w:tcBorders>
              <w:top w:val="nil"/>
              <w:left w:val="nil"/>
              <w:bottom w:val="single" w:sz="4" w:space="0" w:color="auto"/>
              <w:right w:val="single" w:sz="4" w:space="0" w:color="auto"/>
            </w:tcBorders>
            <w:tcMar>
              <w:top w:w="0" w:type="dxa"/>
              <w:left w:w="108" w:type="dxa"/>
              <w:bottom w:w="0" w:type="dxa"/>
              <w:right w:w="108" w:type="dxa"/>
            </w:tcMar>
          </w:tcPr>
          <w:p w14:paraId="02EB961F" w14:textId="77777777" w:rsidR="005A7619" w:rsidRPr="00175755" w:rsidRDefault="005A7619" w:rsidP="00175755">
            <w:pPr>
              <w:jc w:val="center"/>
              <w:rPr>
                <w:b/>
                <w:bCs/>
              </w:rPr>
            </w:pPr>
            <w:r w:rsidRPr="00175755">
              <w:rPr>
                <w:b/>
                <w:bCs/>
              </w:rPr>
              <w:t>vienkartiniai, 10 km</w:t>
            </w:r>
          </w:p>
        </w:tc>
        <w:tc>
          <w:tcPr>
            <w:tcW w:w="0" w:type="auto"/>
            <w:tcBorders>
              <w:top w:val="nil"/>
              <w:left w:val="nil"/>
              <w:bottom w:val="single" w:sz="4" w:space="0" w:color="auto"/>
              <w:right w:val="single" w:sz="4" w:space="0" w:color="auto"/>
            </w:tcBorders>
            <w:tcMar>
              <w:top w:w="0" w:type="dxa"/>
              <w:left w:w="108" w:type="dxa"/>
              <w:bottom w:w="0" w:type="dxa"/>
              <w:right w:w="108" w:type="dxa"/>
            </w:tcMar>
          </w:tcPr>
          <w:p w14:paraId="24AA7471" w14:textId="77777777" w:rsidR="005A7619" w:rsidRPr="00175755" w:rsidRDefault="005A7619" w:rsidP="00175755">
            <w:pPr>
              <w:jc w:val="center"/>
              <w:rPr>
                <w:b/>
                <w:bCs/>
              </w:rPr>
            </w:pPr>
            <w:r w:rsidRPr="00175755">
              <w:rPr>
                <w:b/>
                <w:bCs/>
              </w:rPr>
              <w:t>mėnesio</w:t>
            </w:r>
          </w:p>
        </w:tc>
      </w:tr>
      <w:tr w:rsidR="005A7619" w:rsidRPr="00175755" w14:paraId="1907C8F5" w14:textId="77777777" w:rsidTr="00175755">
        <w:trPr>
          <w:cantSplit/>
          <w:trHeight w:val="235"/>
        </w:trPr>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tcPr>
          <w:p w14:paraId="2B0EDEC6" w14:textId="77777777" w:rsidR="005A7619" w:rsidRPr="00175755" w:rsidRDefault="005A7619" w:rsidP="00175755">
            <w:pPr>
              <w:jc w:val="center"/>
            </w:pPr>
            <w:r w:rsidRPr="00175755">
              <w:t>0,6–1,0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74852552" w14:textId="77777777" w:rsidR="005A7619" w:rsidRPr="00175755" w:rsidRDefault="005A7619" w:rsidP="00175755">
            <w:pPr>
              <w:jc w:val="center"/>
            </w:pPr>
            <w:r w:rsidRPr="00175755">
              <w:t>0,83</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32F5C15D" w14:textId="77777777" w:rsidR="005A7619" w:rsidRPr="00175755" w:rsidRDefault="005A7619" w:rsidP="00175755">
            <w:pPr>
              <w:jc w:val="center"/>
            </w:pPr>
            <w:r w:rsidRPr="00175755">
              <w:t>58</w:t>
            </w:r>
          </w:p>
        </w:tc>
      </w:tr>
      <w:tr w:rsidR="005A7619" w:rsidRPr="00175755" w14:paraId="399A7841" w14:textId="77777777" w:rsidTr="00175755">
        <w:trPr>
          <w:cantSplit/>
        </w:trPr>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tcPr>
          <w:p w14:paraId="6EC0F3CB" w14:textId="77777777" w:rsidR="005A7619" w:rsidRPr="00175755" w:rsidRDefault="005A7619" w:rsidP="00175755">
            <w:pPr>
              <w:jc w:val="center"/>
            </w:pPr>
            <w:r w:rsidRPr="00175755">
              <w:t>1,1–1,5</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7B55AC6D" w14:textId="77777777" w:rsidR="005A7619" w:rsidRPr="00175755" w:rsidRDefault="005A7619" w:rsidP="00175755">
            <w:pPr>
              <w:jc w:val="center"/>
            </w:pPr>
            <w:r w:rsidRPr="00175755">
              <w:t>1,46</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20C4D134" w14:textId="77777777" w:rsidR="005A7619" w:rsidRPr="00175755" w:rsidRDefault="005A7619" w:rsidP="00175755">
            <w:pPr>
              <w:jc w:val="center"/>
            </w:pPr>
            <w:r w:rsidRPr="00175755">
              <w:t>102</w:t>
            </w:r>
          </w:p>
        </w:tc>
      </w:tr>
      <w:tr w:rsidR="005A7619" w:rsidRPr="00175755" w14:paraId="0309C0D5" w14:textId="77777777" w:rsidTr="00175755">
        <w:trPr>
          <w:cantSplit/>
        </w:trPr>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tcPr>
          <w:p w14:paraId="19C864E0" w14:textId="77777777" w:rsidR="005A7619" w:rsidRPr="00175755" w:rsidRDefault="005A7619" w:rsidP="00175755">
            <w:pPr>
              <w:jc w:val="center"/>
            </w:pPr>
            <w:r w:rsidRPr="00175755">
              <w:t>1,6–2,0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37D2A763" w14:textId="77777777" w:rsidR="005A7619" w:rsidRPr="00175755" w:rsidRDefault="005A7619" w:rsidP="00175755">
            <w:pPr>
              <w:jc w:val="center"/>
            </w:pPr>
            <w:r w:rsidRPr="00175755">
              <w:t>2,08</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276C5BC8" w14:textId="77777777" w:rsidR="005A7619" w:rsidRPr="00175755" w:rsidRDefault="005A7619" w:rsidP="00175755">
            <w:pPr>
              <w:jc w:val="center"/>
            </w:pPr>
            <w:r w:rsidRPr="00175755">
              <w:t>146</w:t>
            </w:r>
          </w:p>
        </w:tc>
      </w:tr>
      <w:tr w:rsidR="005A7619" w:rsidRPr="00175755" w14:paraId="62B6E4AC" w14:textId="77777777" w:rsidTr="00175755">
        <w:trPr>
          <w:cantSplit/>
        </w:trPr>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tcPr>
          <w:p w14:paraId="6CE60442" w14:textId="77777777" w:rsidR="005A7619" w:rsidRPr="00175755" w:rsidRDefault="005A7619" w:rsidP="00175755">
            <w:pPr>
              <w:jc w:val="center"/>
            </w:pPr>
            <w:r w:rsidRPr="00175755">
              <w:t>2,1–3,0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4F3E59AD" w14:textId="77777777" w:rsidR="005A7619" w:rsidRPr="00175755" w:rsidRDefault="005A7619" w:rsidP="00175755">
            <w:pPr>
              <w:jc w:val="center"/>
            </w:pPr>
            <w:r w:rsidRPr="00175755">
              <w:t>3,66</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26032BE0" w14:textId="77777777" w:rsidR="005A7619" w:rsidRPr="00175755" w:rsidRDefault="005A7619" w:rsidP="00175755">
            <w:pPr>
              <w:jc w:val="center"/>
            </w:pPr>
            <w:r w:rsidRPr="00175755">
              <w:t>246</w:t>
            </w:r>
          </w:p>
        </w:tc>
      </w:tr>
      <w:tr w:rsidR="005A7619" w:rsidRPr="00175755" w14:paraId="6491DDCB" w14:textId="77777777" w:rsidTr="00175755">
        <w:trPr>
          <w:cantSplit/>
        </w:trPr>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tcPr>
          <w:p w14:paraId="5C51F1D5" w14:textId="77777777" w:rsidR="005A7619" w:rsidRPr="00175755" w:rsidRDefault="005A7619" w:rsidP="00175755">
            <w:pPr>
              <w:jc w:val="center"/>
            </w:pPr>
            <w:r w:rsidRPr="00175755">
              <w:t>3,1–4,0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4EB77116" w14:textId="77777777" w:rsidR="005A7619" w:rsidRPr="00175755" w:rsidRDefault="005A7619" w:rsidP="00175755">
            <w:pPr>
              <w:jc w:val="center"/>
            </w:pPr>
            <w:r w:rsidRPr="00175755">
              <w:t>5,91</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6E7A4ABB" w14:textId="77777777" w:rsidR="005A7619" w:rsidRPr="00175755" w:rsidRDefault="005A7619" w:rsidP="00175755">
            <w:pPr>
              <w:jc w:val="center"/>
            </w:pPr>
            <w:r w:rsidRPr="00175755">
              <w:t>413</w:t>
            </w:r>
          </w:p>
        </w:tc>
      </w:tr>
      <w:tr w:rsidR="005A7619" w:rsidRPr="00175755" w14:paraId="4937378F" w14:textId="77777777" w:rsidTr="00175755">
        <w:trPr>
          <w:cantSplit/>
        </w:trPr>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tcPr>
          <w:p w14:paraId="73F07250" w14:textId="77777777" w:rsidR="005A7619" w:rsidRPr="00175755" w:rsidRDefault="005A7619" w:rsidP="00175755">
            <w:pPr>
              <w:jc w:val="center"/>
            </w:pPr>
            <w:r w:rsidRPr="00175755">
              <w:t>4,1–5,0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6A5E4A31" w14:textId="77777777" w:rsidR="005A7619" w:rsidRPr="00175755" w:rsidRDefault="005A7619" w:rsidP="00175755">
            <w:pPr>
              <w:jc w:val="center"/>
            </w:pPr>
            <w:r w:rsidRPr="00175755">
              <w:t>8,34</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3E511FA1" w14:textId="77777777" w:rsidR="005A7619" w:rsidRPr="00175755" w:rsidRDefault="005A7619" w:rsidP="00175755">
            <w:pPr>
              <w:jc w:val="center"/>
            </w:pPr>
            <w:r w:rsidRPr="00175755">
              <w:t>-</w:t>
            </w:r>
          </w:p>
        </w:tc>
      </w:tr>
      <w:tr w:rsidR="005A7619" w:rsidRPr="00175755" w14:paraId="72DF4BF9" w14:textId="77777777" w:rsidTr="00175755">
        <w:trPr>
          <w:cantSplit/>
        </w:trPr>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tcPr>
          <w:p w14:paraId="54F8DE3F" w14:textId="77777777" w:rsidR="005A7619" w:rsidRPr="00175755" w:rsidRDefault="005A7619" w:rsidP="00175755">
            <w:pPr>
              <w:jc w:val="center"/>
            </w:pPr>
            <w:r w:rsidRPr="00175755">
              <w:t>5,1–6,0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6A72EEA0" w14:textId="77777777" w:rsidR="005A7619" w:rsidRPr="00175755" w:rsidRDefault="005A7619" w:rsidP="00175755">
            <w:pPr>
              <w:jc w:val="center"/>
            </w:pPr>
            <w:r w:rsidRPr="00175755">
              <w:t>10,43</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563964DD" w14:textId="77777777" w:rsidR="005A7619" w:rsidRPr="00175755" w:rsidRDefault="005A7619" w:rsidP="00175755">
            <w:pPr>
              <w:jc w:val="center"/>
            </w:pPr>
            <w:r w:rsidRPr="00175755">
              <w:t>-</w:t>
            </w:r>
          </w:p>
        </w:tc>
      </w:tr>
      <w:tr w:rsidR="005A7619" w:rsidRPr="00175755" w14:paraId="6D39B293" w14:textId="77777777" w:rsidTr="00175755">
        <w:trPr>
          <w:cantSplit/>
        </w:trPr>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tcPr>
          <w:p w14:paraId="71AE1E37" w14:textId="77777777" w:rsidR="005A7619" w:rsidRPr="00175755" w:rsidRDefault="005A7619" w:rsidP="00175755">
            <w:pPr>
              <w:jc w:val="center"/>
            </w:pPr>
            <w:r w:rsidRPr="00175755">
              <w:t>6,1–7,0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3FCA17E5" w14:textId="77777777" w:rsidR="005A7619" w:rsidRPr="00175755" w:rsidRDefault="005A7619" w:rsidP="00175755">
            <w:pPr>
              <w:jc w:val="center"/>
            </w:pPr>
            <w:r w:rsidRPr="00175755">
              <w:t>12,51</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47038608" w14:textId="77777777" w:rsidR="005A7619" w:rsidRPr="00175755" w:rsidRDefault="005A7619" w:rsidP="00175755">
            <w:pPr>
              <w:jc w:val="center"/>
            </w:pPr>
            <w:r w:rsidRPr="00175755">
              <w:t>-</w:t>
            </w:r>
          </w:p>
        </w:tc>
      </w:tr>
      <w:tr w:rsidR="005A7619" w:rsidRPr="00175755" w14:paraId="7D85EF3A" w14:textId="77777777" w:rsidTr="00175755">
        <w:trPr>
          <w:cantSplit/>
        </w:trPr>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tcPr>
          <w:p w14:paraId="528D19D5" w14:textId="77777777" w:rsidR="005A7619" w:rsidRPr="00175755" w:rsidRDefault="005A7619" w:rsidP="00175755">
            <w:pPr>
              <w:jc w:val="center"/>
            </w:pPr>
            <w:r w:rsidRPr="00175755">
              <w:t>7,1–8,0 įskaitytinai</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0A24D31A" w14:textId="77777777" w:rsidR="005A7619" w:rsidRPr="00175755" w:rsidRDefault="005A7619" w:rsidP="00175755">
            <w:pPr>
              <w:jc w:val="center"/>
            </w:pPr>
            <w:r w:rsidRPr="00175755">
              <w:t>14,94</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bottom"/>
          </w:tcPr>
          <w:p w14:paraId="41C3544D" w14:textId="77777777" w:rsidR="005A7619" w:rsidRPr="00175755" w:rsidRDefault="005A7619" w:rsidP="00175755">
            <w:pPr>
              <w:jc w:val="center"/>
            </w:pPr>
            <w:r w:rsidRPr="00175755">
              <w:t>-</w:t>
            </w:r>
          </w:p>
        </w:tc>
      </w:tr>
    </w:tbl>
    <w:p w14:paraId="5B64F2EE" w14:textId="2D9E148B" w:rsidR="005A7619" w:rsidRDefault="005A7619" w:rsidP="00331EA5">
      <w:pPr>
        <w:ind w:firstLine="709"/>
        <w:jc w:val="both"/>
        <w:rPr>
          <w:szCs w:val="24"/>
        </w:rPr>
      </w:pPr>
      <w:r>
        <w:rPr>
          <w:color w:val="000000"/>
          <w:szCs w:val="24"/>
          <w:lang w:eastAsia="lt-LT"/>
        </w:rPr>
        <w:lastRenderedPageBreak/>
        <w:t>5. Mokesčio už naudojimąsi Savivaldybės vietinės reikšmės keliais važiuojant sunkiasvoriais traktoriais ir savaeigėmis mašinomis ar jų junginiais, kurių ašies (ašių) apkrova su kroviniu ar be jo yra didesnė už didžiausiąją leidžiamąją ašies (ašių) apkrovą, tarifai: </w:t>
      </w: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623"/>
        <w:gridCol w:w="2378"/>
        <w:gridCol w:w="2617"/>
      </w:tblGrid>
      <w:tr w:rsidR="005A7619" w14:paraId="6E31EDA6" w14:textId="77777777" w:rsidTr="00493536">
        <w:trPr>
          <w:cantSplit/>
          <w:trHeight w:val="286"/>
        </w:trPr>
        <w:tc>
          <w:tcPr>
            <w:tcW w:w="4623" w:type="dxa"/>
            <w:vMerge w:val="restart"/>
            <w:shd w:val="clear" w:color="auto" w:fill="FFFFFF"/>
          </w:tcPr>
          <w:p w14:paraId="4AC88095" w14:textId="77777777" w:rsidR="005A7619" w:rsidRDefault="005A7619" w:rsidP="00493536">
            <w:pPr>
              <w:jc w:val="center"/>
              <w:rPr>
                <w:b/>
                <w:szCs w:val="24"/>
                <w:lang w:eastAsia="lt-LT"/>
              </w:rPr>
            </w:pPr>
            <w:r>
              <w:rPr>
                <w:b/>
                <w:color w:val="000000"/>
                <w:szCs w:val="24"/>
                <w:shd w:val="clear" w:color="auto" w:fill="FFFFFF"/>
              </w:rPr>
              <w:t>Didžiausioji leidžiamoji ašies (ašių) apkrova viršyta, t</w:t>
            </w:r>
          </w:p>
        </w:tc>
        <w:tc>
          <w:tcPr>
            <w:tcW w:w="4995" w:type="dxa"/>
            <w:gridSpan w:val="2"/>
            <w:shd w:val="clear" w:color="auto" w:fill="FFFFFF"/>
          </w:tcPr>
          <w:p w14:paraId="08F9B218" w14:textId="77777777" w:rsidR="005A7619" w:rsidRDefault="005A7619" w:rsidP="00493536">
            <w:pPr>
              <w:jc w:val="center"/>
              <w:rPr>
                <w:b/>
                <w:szCs w:val="24"/>
                <w:lang w:eastAsia="lt-LT"/>
              </w:rPr>
            </w:pPr>
            <w:r>
              <w:rPr>
                <w:b/>
                <w:color w:val="000000"/>
              </w:rPr>
              <w:t>Tarifai, eurais</w:t>
            </w:r>
          </w:p>
        </w:tc>
      </w:tr>
      <w:tr w:rsidR="005A7619" w14:paraId="4CCC8374" w14:textId="77777777" w:rsidTr="00493536">
        <w:trPr>
          <w:cantSplit/>
        </w:trPr>
        <w:tc>
          <w:tcPr>
            <w:tcW w:w="0" w:type="auto"/>
            <w:vMerge/>
            <w:shd w:val="clear" w:color="auto" w:fill="FFFFFF"/>
            <w:vAlign w:val="center"/>
          </w:tcPr>
          <w:p w14:paraId="0C76FC95" w14:textId="77777777" w:rsidR="005A7619" w:rsidRDefault="005A7619" w:rsidP="00493536">
            <w:pPr>
              <w:jc w:val="center"/>
              <w:rPr>
                <w:b/>
                <w:szCs w:val="24"/>
                <w:lang w:eastAsia="lt-LT"/>
              </w:rPr>
            </w:pPr>
          </w:p>
        </w:tc>
        <w:tc>
          <w:tcPr>
            <w:tcW w:w="2378" w:type="dxa"/>
            <w:shd w:val="clear" w:color="auto" w:fill="FFFFFF"/>
          </w:tcPr>
          <w:p w14:paraId="4BC49C98" w14:textId="77777777" w:rsidR="005A7619" w:rsidRDefault="005A7619" w:rsidP="00493536">
            <w:pPr>
              <w:jc w:val="center"/>
              <w:rPr>
                <w:b/>
                <w:szCs w:val="24"/>
                <w:lang w:eastAsia="lt-LT"/>
              </w:rPr>
            </w:pPr>
            <w:r>
              <w:rPr>
                <w:b/>
                <w:color w:val="000000"/>
              </w:rPr>
              <w:t>vienkartiniai, 10 km</w:t>
            </w:r>
          </w:p>
        </w:tc>
        <w:tc>
          <w:tcPr>
            <w:tcW w:w="2617" w:type="dxa"/>
            <w:shd w:val="clear" w:color="auto" w:fill="FFFFFF"/>
          </w:tcPr>
          <w:p w14:paraId="50B86376" w14:textId="77777777" w:rsidR="005A7619" w:rsidRDefault="005A7619" w:rsidP="00493536">
            <w:pPr>
              <w:jc w:val="center"/>
              <w:rPr>
                <w:b/>
                <w:szCs w:val="24"/>
                <w:lang w:eastAsia="lt-LT"/>
              </w:rPr>
            </w:pPr>
            <w:r>
              <w:rPr>
                <w:b/>
                <w:color w:val="000000"/>
              </w:rPr>
              <w:t>mėnesio</w:t>
            </w:r>
          </w:p>
        </w:tc>
      </w:tr>
      <w:tr w:rsidR="005A7619" w14:paraId="2F347511" w14:textId="77777777" w:rsidTr="00493536">
        <w:trPr>
          <w:cantSplit/>
        </w:trPr>
        <w:tc>
          <w:tcPr>
            <w:tcW w:w="4623" w:type="dxa"/>
            <w:shd w:val="clear" w:color="auto" w:fill="FFFFFF"/>
          </w:tcPr>
          <w:p w14:paraId="5CDBCDF5" w14:textId="77777777" w:rsidR="005A7619" w:rsidRDefault="005A7619" w:rsidP="00493536">
            <w:pPr>
              <w:jc w:val="center"/>
              <w:rPr>
                <w:szCs w:val="24"/>
                <w:lang w:eastAsia="lt-LT"/>
              </w:rPr>
            </w:pPr>
            <w:r>
              <w:rPr>
                <w:color w:val="000000"/>
                <w:szCs w:val="24"/>
                <w:lang w:eastAsia="lt-LT"/>
              </w:rPr>
              <w:t>0,6–1</w:t>
            </w:r>
          </w:p>
        </w:tc>
        <w:tc>
          <w:tcPr>
            <w:tcW w:w="2378" w:type="dxa"/>
            <w:shd w:val="clear" w:color="auto" w:fill="FFFFFF"/>
            <w:vAlign w:val="bottom"/>
          </w:tcPr>
          <w:p w14:paraId="77792184" w14:textId="77777777" w:rsidR="005A7619" w:rsidRDefault="005A7619" w:rsidP="00493536">
            <w:pPr>
              <w:jc w:val="center"/>
              <w:rPr>
                <w:color w:val="000000"/>
                <w:szCs w:val="24"/>
              </w:rPr>
            </w:pPr>
            <w:r>
              <w:rPr>
                <w:color w:val="000000"/>
                <w:szCs w:val="24"/>
              </w:rPr>
              <w:t>0,28</w:t>
            </w:r>
          </w:p>
        </w:tc>
        <w:tc>
          <w:tcPr>
            <w:tcW w:w="2617" w:type="dxa"/>
            <w:shd w:val="clear" w:color="auto" w:fill="FFFFFF"/>
            <w:vAlign w:val="bottom"/>
          </w:tcPr>
          <w:p w14:paraId="7D07CC45" w14:textId="77777777" w:rsidR="005A7619" w:rsidRDefault="005A7619" w:rsidP="00493536">
            <w:pPr>
              <w:jc w:val="center"/>
              <w:rPr>
                <w:color w:val="000000"/>
                <w:szCs w:val="24"/>
              </w:rPr>
            </w:pPr>
            <w:r>
              <w:rPr>
                <w:color w:val="000000"/>
                <w:szCs w:val="24"/>
              </w:rPr>
              <w:t>19</w:t>
            </w:r>
          </w:p>
        </w:tc>
      </w:tr>
      <w:tr w:rsidR="005A7619" w14:paraId="6A07AE16" w14:textId="77777777" w:rsidTr="00493536">
        <w:trPr>
          <w:cantSplit/>
        </w:trPr>
        <w:tc>
          <w:tcPr>
            <w:tcW w:w="4623" w:type="dxa"/>
            <w:shd w:val="clear" w:color="auto" w:fill="FFFFFF"/>
          </w:tcPr>
          <w:p w14:paraId="0A7BECB7" w14:textId="77777777" w:rsidR="005A7619" w:rsidRDefault="005A7619" w:rsidP="00493536">
            <w:pPr>
              <w:jc w:val="center"/>
              <w:rPr>
                <w:szCs w:val="24"/>
                <w:lang w:eastAsia="lt-LT"/>
              </w:rPr>
            </w:pPr>
            <w:r>
              <w:rPr>
                <w:color w:val="000000"/>
                <w:szCs w:val="24"/>
                <w:lang w:eastAsia="lt-LT"/>
              </w:rPr>
              <w:t>1,1–1,5</w:t>
            </w:r>
          </w:p>
        </w:tc>
        <w:tc>
          <w:tcPr>
            <w:tcW w:w="2378" w:type="dxa"/>
            <w:shd w:val="clear" w:color="auto" w:fill="FFFFFF"/>
            <w:vAlign w:val="bottom"/>
          </w:tcPr>
          <w:p w14:paraId="4F34CC4C" w14:textId="77777777" w:rsidR="005A7619" w:rsidRDefault="005A7619" w:rsidP="00493536">
            <w:pPr>
              <w:jc w:val="center"/>
              <w:rPr>
                <w:color w:val="000000"/>
                <w:szCs w:val="24"/>
              </w:rPr>
            </w:pPr>
            <w:r>
              <w:rPr>
                <w:color w:val="000000"/>
                <w:szCs w:val="24"/>
              </w:rPr>
              <w:t>0,49</w:t>
            </w:r>
          </w:p>
        </w:tc>
        <w:tc>
          <w:tcPr>
            <w:tcW w:w="2617" w:type="dxa"/>
            <w:shd w:val="clear" w:color="auto" w:fill="FFFFFF"/>
            <w:vAlign w:val="bottom"/>
          </w:tcPr>
          <w:p w14:paraId="378E52B5" w14:textId="77777777" w:rsidR="005A7619" w:rsidRDefault="005A7619" w:rsidP="00493536">
            <w:pPr>
              <w:jc w:val="center"/>
              <w:rPr>
                <w:color w:val="000000"/>
                <w:szCs w:val="24"/>
              </w:rPr>
            </w:pPr>
            <w:r>
              <w:rPr>
                <w:color w:val="000000"/>
                <w:szCs w:val="24"/>
              </w:rPr>
              <w:t>34</w:t>
            </w:r>
          </w:p>
        </w:tc>
      </w:tr>
      <w:tr w:rsidR="005A7619" w14:paraId="610BB2E3" w14:textId="77777777" w:rsidTr="00493536">
        <w:trPr>
          <w:cantSplit/>
        </w:trPr>
        <w:tc>
          <w:tcPr>
            <w:tcW w:w="4623" w:type="dxa"/>
            <w:shd w:val="clear" w:color="auto" w:fill="FFFFFF"/>
          </w:tcPr>
          <w:p w14:paraId="43AE7502" w14:textId="77777777" w:rsidR="005A7619" w:rsidRDefault="005A7619" w:rsidP="00493536">
            <w:pPr>
              <w:jc w:val="center"/>
              <w:rPr>
                <w:szCs w:val="24"/>
                <w:lang w:eastAsia="lt-LT"/>
              </w:rPr>
            </w:pPr>
            <w:r>
              <w:rPr>
                <w:color w:val="000000"/>
                <w:szCs w:val="24"/>
                <w:lang w:eastAsia="lt-LT"/>
              </w:rPr>
              <w:t>1,6–2,0</w:t>
            </w:r>
          </w:p>
        </w:tc>
        <w:tc>
          <w:tcPr>
            <w:tcW w:w="2378" w:type="dxa"/>
            <w:shd w:val="clear" w:color="auto" w:fill="FFFFFF"/>
            <w:vAlign w:val="bottom"/>
          </w:tcPr>
          <w:p w14:paraId="16CBA09A" w14:textId="77777777" w:rsidR="005A7619" w:rsidRDefault="005A7619" w:rsidP="00493536">
            <w:pPr>
              <w:jc w:val="center"/>
              <w:rPr>
                <w:color w:val="000000"/>
                <w:szCs w:val="24"/>
              </w:rPr>
            </w:pPr>
            <w:r>
              <w:rPr>
                <w:color w:val="000000"/>
                <w:szCs w:val="24"/>
              </w:rPr>
              <w:t>0,69</w:t>
            </w:r>
          </w:p>
        </w:tc>
        <w:tc>
          <w:tcPr>
            <w:tcW w:w="2617" w:type="dxa"/>
            <w:shd w:val="clear" w:color="auto" w:fill="FFFFFF"/>
            <w:vAlign w:val="bottom"/>
          </w:tcPr>
          <w:p w14:paraId="1CDCE361" w14:textId="77777777" w:rsidR="005A7619" w:rsidRDefault="005A7619" w:rsidP="00493536">
            <w:pPr>
              <w:jc w:val="center"/>
              <w:rPr>
                <w:color w:val="000000"/>
                <w:szCs w:val="24"/>
              </w:rPr>
            </w:pPr>
            <w:r>
              <w:rPr>
                <w:color w:val="000000"/>
                <w:szCs w:val="24"/>
              </w:rPr>
              <w:t>48</w:t>
            </w:r>
          </w:p>
        </w:tc>
      </w:tr>
      <w:tr w:rsidR="005A7619" w14:paraId="41A7670B" w14:textId="77777777" w:rsidTr="00493536">
        <w:trPr>
          <w:cantSplit/>
        </w:trPr>
        <w:tc>
          <w:tcPr>
            <w:tcW w:w="4623" w:type="dxa"/>
            <w:shd w:val="clear" w:color="auto" w:fill="FFFFFF"/>
          </w:tcPr>
          <w:p w14:paraId="18DAA694" w14:textId="77777777" w:rsidR="005A7619" w:rsidRDefault="005A7619" w:rsidP="00493536">
            <w:pPr>
              <w:jc w:val="center"/>
              <w:rPr>
                <w:szCs w:val="24"/>
                <w:lang w:eastAsia="lt-LT"/>
              </w:rPr>
            </w:pPr>
            <w:r>
              <w:rPr>
                <w:color w:val="000000"/>
                <w:szCs w:val="24"/>
                <w:lang w:eastAsia="lt-LT"/>
              </w:rPr>
              <w:t>2,1–3,0</w:t>
            </w:r>
          </w:p>
        </w:tc>
        <w:tc>
          <w:tcPr>
            <w:tcW w:w="2378" w:type="dxa"/>
            <w:shd w:val="clear" w:color="auto" w:fill="FFFFFF"/>
            <w:vAlign w:val="bottom"/>
          </w:tcPr>
          <w:p w14:paraId="173535C3" w14:textId="77777777" w:rsidR="005A7619" w:rsidRDefault="005A7619" w:rsidP="00493536">
            <w:pPr>
              <w:jc w:val="center"/>
              <w:rPr>
                <w:color w:val="000000"/>
                <w:szCs w:val="24"/>
              </w:rPr>
            </w:pPr>
            <w:r>
              <w:rPr>
                <w:color w:val="000000"/>
                <w:szCs w:val="24"/>
              </w:rPr>
              <w:t>1,22</w:t>
            </w:r>
          </w:p>
        </w:tc>
        <w:tc>
          <w:tcPr>
            <w:tcW w:w="2617" w:type="dxa"/>
            <w:shd w:val="clear" w:color="auto" w:fill="FFFFFF"/>
            <w:vAlign w:val="bottom"/>
          </w:tcPr>
          <w:p w14:paraId="6F5C43F1" w14:textId="77777777" w:rsidR="005A7619" w:rsidRDefault="005A7619" w:rsidP="00493536">
            <w:pPr>
              <w:jc w:val="center"/>
              <w:rPr>
                <w:color w:val="000000"/>
                <w:szCs w:val="24"/>
              </w:rPr>
            </w:pPr>
            <w:r>
              <w:rPr>
                <w:color w:val="000000"/>
                <w:szCs w:val="24"/>
              </w:rPr>
              <w:t>86</w:t>
            </w:r>
          </w:p>
        </w:tc>
      </w:tr>
      <w:tr w:rsidR="005A7619" w14:paraId="6DAA52BC" w14:textId="77777777" w:rsidTr="00493536">
        <w:trPr>
          <w:cantSplit/>
        </w:trPr>
        <w:tc>
          <w:tcPr>
            <w:tcW w:w="4623" w:type="dxa"/>
            <w:shd w:val="clear" w:color="auto" w:fill="FFFFFF"/>
          </w:tcPr>
          <w:p w14:paraId="4E28D974" w14:textId="77777777" w:rsidR="005A7619" w:rsidRDefault="005A7619" w:rsidP="00493536">
            <w:pPr>
              <w:jc w:val="center"/>
              <w:rPr>
                <w:szCs w:val="24"/>
                <w:lang w:eastAsia="lt-LT"/>
              </w:rPr>
            </w:pPr>
            <w:r>
              <w:rPr>
                <w:color w:val="000000"/>
                <w:szCs w:val="24"/>
                <w:lang w:eastAsia="lt-LT"/>
              </w:rPr>
              <w:t>3,1–4,0</w:t>
            </w:r>
          </w:p>
        </w:tc>
        <w:tc>
          <w:tcPr>
            <w:tcW w:w="2378" w:type="dxa"/>
            <w:shd w:val="clear" w:color="auto" w:fill="FFFFFF"/>
            <w:vAlign w:val="bottom"/>
          </w:tcPr>
          <w:p w14:paraId="102B036C" w14:textId="77777777" w:rsidR="005A7619" w:rsidRDefault="005A7619" w:rsidP="00493536">
            <w:pPr>
              <w:jc w:val="center"/>
              <w:rPr>
                <w:color w:val="000000"/>
                <w:szCs w:val="24"/>
              </w:rPr>
            </w:pPr>
            <w:r>
              <w:rPr>
                <w:color w:val="000000"/>
                <w:szCs w:val="24"/>
              </w:rPr>
              <w:t>1,97</w:t>
            </w:r>
          </w:p>
        </w:tc>
        <w:tc>
          <w:tcPr>
            <w:tcW w:w="2617" w:type="dxa"/>
            <w:shd w:val="clear" w:color="auto" w:fill="FFFFFF"/>
            <w:vAlign w:val="bottom"/>
          </w:tcPr>
          <w:p w14:paraId="5D2EF643" w14:textId="77777777" w:rsidR="005A7619" w:rsidRDefault="005A7619" w:rsidP="00493536">
            <w:pPr>
              <w:jc w:val="center"/>
              <w:rPr>
                <w:color w:val="000000"/>
                <w:szCs w:val="24"/>
              </w:rPr>
            </w:pPr>
            <w:r>
              <w:rPr>
                <w:color w:val="000000"/>
                <w:szCs w:val="24"/>
              </w:rPr>
              <w:t>137</w:t>
            </w:r>
          </w:p>
        </w:tc>
      </w:tr>
      <w:tr w:rsidR="005A7619" w14:paraId="7CD52EB0" w14:textId="77777777" w:rsidTr="00493536">
        <w:trPr>
          <w:cantSplit/>
        </w:trPr>
        <w:tc>
          <w:tcPr>
            <w:tcW w:w="4623" w:type="dxa"/>
            <w:shd w:val="clear" w:color="auto" w:fill="FFFFFF"/>
          </w:tcPr>
          <w:p w14:paraId="3A34F3CD" w14:textId="77777777" w:rsidR="005A7619" w:rsidRDefault="005A7619" w:rsidP="00493536">
            <w:pPr>
              <w:jc w:val="center"/>
              <w:rPr>
                <w:szCs w:val="24"/>
                <w:lang w:eastAsia="lt-LT"/>
              </w:rPr>
            </w:pPr>
            <w:r>
              <w:rPr>
                <w:color w:val="000000"/>
                <w:szCs w:val="24"/>
                <w:lang w:eastAsia="lt-LT"/>
              </w:rPr>
              <w:t>4,1–5,0</w:t>
            </w:r>
          </w:p>
        </w:tc>
        <w:tc>
          <w:tcPr>
            <w:tcW w:w="2378" w:type="dxa"/>
            <w:shd w:val="clear" w:color="auto" w:fill="FFFFFF"/>
            <w:vAlign w:val="bottom"/>
          </w:tcPr>
          <w:p w14:paraId="1C79E2E8" w14:textId="77777777" w:rsidR="005A7619" w:rsidRDefault="005A7619" w:rsidP="00493536">
            <w:pPr>
              <w:jc w:val="center"/>
              <w:rPr>
                <w:color w:val="000000"/>
                <w:szCs w:val="24"/>
              </w:rPr>
            </w:pPr>
            <w:r>
              <w:rPr>
                <w:color w:val="000000"/>
                <w:szCs w:val="24"/>
              </w:rPr>
              <w:t>2,78</w:t>
            </w:r>
          </w:p>
        </w:tc>
        <w:tc>
          <w:tcPr>
            <w:tcW w:w="2617" w:type="dxa"/>
            <w:shd w:val="clear" w:color="auto" w:fill="FFFFFF"/>
          </w:tcPr>
          <w:p w14:paraId="0B02932F" w14:textId="77777777" w:rsidR="005A7619" w:rsidRDefault="005A7619" w:rsidP="00493536">
            <w:pPr>
              <w:jc w:val="center"/>
              <w:rPr>
                <w:szCs w:val="24"/>
                <w:lang w:eastAsia="lt-LT"/>
              </w:rPr>
            </w:pPr>
            <w:r>
              <w:rPr>
                <w:color w:val="000000"/>
                <w:szCs w:val="24"/>
                <w:lang w:eastAsia="lt-LT"/>
              </w:rPr>
              <w:t>–</w:t>
            </w:r>
          </w:p>
        </w:tc>
      </w:tr>
      <w:tr w:rsidR="005A7619" w14:paraId="253A54D5" w14:textId="77777777" w:rsidTr="00493536">
        <w:trPr>
          <w:cantSplit/>
        </w:trPr>
        <w:tc>
          <w:tcPr>
            <w:tcW w:w="4623" w:type="dxa"/>
            <w:shd w:val="clear" w:color="auto" w:fill="FFFFFF"/>
          </w:tcPr>
          <w:p w14:paraId="196D141F" w14:textId="77777777" w:rsidR="005A7619" w:rsidRDefault="005A7619" w:rsidP="00493536">
            <w:pPr>
              <w:jc w:val="center"/>
              <w:rPr>
                <w:szCs w:val="24"/>
                <w:lang w:eastAsia="lt-LT"/>
              </w:rPr>
            </w:pPr>
            <w:r>
              <w:rPr>
                <w:color w:val="000000"/>
                <w:szCs w:val="24"/>
                <w:lang w:eastAsia="lt-LT"/>
              </w:rPr>
              <w:t>5,1–6,0</w:t>
            </w:r>
          </w:p>
        </w:tc>
        <w:tc>
          <w:tcPr>
            <w:tcW w:w="2378" w:type="dxa"/>
            <w:shd w:val="clear" w:color="auto" w:fill="FFFFFF"/>
            <w:vAlign w:val="bottom"/>
          </w:tcPr>
          <w:p w14:paraId="08A9983F" w14:textId="77777777" w:rsidR="005A7619" w:rsidRDefault="005A7619" w:rsidP="00493536">
            <w:pPr>
              <w:jc w:val="center"/>
              <w:rPr>
                <w:color w:val="000000"/>
                <w:szCs w:val="24"/>
              </w:rPr>
            </w:pPr>
            <w:r>
              <w:rPr>
                <w:color w:val="000000"/>
                <w:szCs w:val="24"/>
              </w:rPr>
              <w:t>3,47</w:t>
            </w:r>
          </w:p>
        </w:tc>
        <w:tc>
          <w:tcPr>
            <w:tcW w:w="2617" w:type="dxa"/>
            <w:shd w:val="clear" w:color="auto" w:fill="FFFFFF"/>
          </w:tcPr>
          <w:p w14:paraId="6D425817" w14:textId="77777777" w:rsidR="005A7619" w:rsidRDefault="005A7619" w:rsidP="00493536">
            <w:pPr>
              <w:jc w:val="center"/>
              <w:rPr>
                <w:szCs w:val="24"/>
                <w:lang w:eastAsia="lt-LT"/>
              </w:rPr>
            </w:pPr>
            <w:r>
              <w:rPr>
                <w:color w:val="000000"/>
                <w:szCs w:val="24"/>
                <w:lang w:eastAsia="lt-LT"/>
              </w:rPr>
              <w:t>–</w:t>
            </w:r>
          </w:p>
        </w:tc>
      </w:tr>
      <w:tr w:rsidR="005A7619" w14:paraId="085D2DA4" w14:textId="77777777" w:rsidTr="00493536">
        <w:trPr>
          <w:cantSplit/>
        </w:trPr>
        <w:tc>
          <w:tcPr>
            <w:tcW w:w="4623" w:type="dxa"/>
            <w:shd w:val="clear" w:color="auto" w:fill="FFFFFF"/>
          </w:tcPr>
          <w:p w14:paraId="49D52733" w14:textId="77777777" w:rsidR="005A7619" w:rsidRDefault="005A7619" w:rsidP="00493536">
            <w:pPr>
              <w:jc w:val="center"/>
              <w:rPr>
                <w:szCs w:val="24"/>
                <w:lang w:eastAsia="lt-LT"/>
              </w:rPr>
            </w:pPr>
            <w:r>
              <w:rPr>
                <w:color w:val="000000"/>
                <w:szCs w:val="24"/>
                <w:lang w:eastAsia="lt-LT"/>
              </w:rPr>
              <w:t>6,1–7,0</w:t>
            </w:r>
          </w:p>
        </w:tc>
        <w:tc>
          <w:tcPr>
            <w:tcW w:w="2378" w:type="dxa"/>
            <w:shd w:val="clear" w:color="auto" w:fill="FFFFFF"/>
            <w:vAlign w:val="bottom"/>
          </w:tcPr>
          <w:p w14:paraId="114DB5BC" w14:textId="77777777" w:rsidR="005A7619" w:rsidRDefault="005A7619" w:rsidP="00493536">
            <w:pPr>
              <w:jc w:val="center"/>
              <w:rPr>
                <w:color w:val="000000"/>
                <w:szCs w:val="24"/>
              </w:rPr>
            </w:pPr>
            <w:r>
              <w:rPr>
                <w:color w:val="000000"/>
                <w:szCs w:val="24"/>
              </w:rPr>
              <w:t>4,17</w:t>
            </w:r>
          </w:p>
        </w:tc>
        <w:tc>
          <w:tcPr>
            <w:tcW w:w="2617" w:type="dxa"/>
            <w:shd w:val="clear" w:color="auto" w:fill="FFFFFF"/>
          </w:tcPr>
          <w:p w14:paraId="6D41977B" w14:textId="77777777" w:rsidR="005A7619" w:rsidRDefault="005A7619" w:rsidP="00493536">
            <w:pPr>
              <w:jc w:val="center"/>
              <w:rPr>
                <w:szCs w:val="24"/>
                <w:lang w:eastAsia="lt-LT"/>
              </w:rPr>
            </w:pPr>
            <w:r>
              <w:rPr>
                <w:color w:val="000000"/>
                <w:szCs w:val="24"/>
                <w:lang w:eastAsia="lt-LT"/>
              </w:rPr>
              <w:t>–</w:t>
            </w:r>
          </w:p>
        </w:tc>
      </w:tr>
      <w:tr w:rsidR="005A7619" w14:paraId="36D92C22" w14:textId="77777777" w:rsidTr="00493536">
        <w:trPr>
          <w:cantSplit/>
        </w:trPr>
        <w:tc>
          <w:tcPr>
            <w:tcW w:w="4623" w:type="dxa"/>
            <w:shd w:val="clear" w:color="auto" w:fill="FFFFFF"/>
          </w:tcPr>
          <w:p w14:paraId="79ACAC0A" w14:textId="77777777" w:rsidR="005A7619" w:rsidRDefault="005A7619" w:rsidP="00493536">
            <w:pPr>
              <w:jc w:val="center"/>
              <w:rPr>
                <w:szCs w:val="24"/>
                <w:lang w:eastAsia="lt-LT"/>
              </w:rPr>
            </w:pPr>
            <w:r>
              <w:rPr>
                <w:color w:val="000000"/>
                <w:szCs w:val="24"/>
                <w:lang w:eastAsia="lt-LT"/>
              </w:rPr>
              <w:t>7,1–8,0 įskaitytinai</w:t>
            </w:r>
          </w:p>
        </w:tc>
        <w:tc>
          <w:tcPr>
            <w:tcW w:w="2378" w:type="dxa"/>
            <w:shd w:val="clear" w:color="auto" w:fill="FFFFFF"/>
            <w:vAlign w:val="bottom"/>
          </w:tcPr>
          <w:p w14:paraId="7050F610" w14:textId="77777777" w:rsidR="005A7619" w:rsidRDefault="005A7619" w:rsidP="00493536">
            <w:pPr>
              <w:jc w:val="center"/>
              <w:rPr>
                <w:color w:val="000000"/>
                <w:szCs w:val="24"/>
              </w:rPr>
            </w:pPr>
            <w:r>
              <w:rPr>
                <w:color w:val="000000"/>
                <w:szCs w:val="24"/>
              </w:rPr>
              <w:t>4,98</w:t>
            </w:r>
          </w:p>
        </w:tc>
        <w:tc>
          <w:tcPr>
            <w:tcW w:w="2617" w:type="dxa"/>
            <w:shd w:val="clear" w:color="auto" w:fill="FFFFFF"/>
          </w:tcPr>
          <w:p w14:paraId="6CFCBC85" w14:textId="77777777" w:rsidR="005A7619" w:rsidRDefault="005A7619" w:rsidP="00493536">
            <w:pPr>
              <w:jc w:val="center"/>
              <w:rPr>
                <w:szCs w:val="24"/>
                <w:lang w:eastAsia="lt-LT"/>
              </w:rPr>
            </w:pPr>
            <w:r>
              <w:rPr>
                <w:color w:val="000000"/>
                <w:szCs w:val="24"/>
                <w:lang w:eastAsia="lt-LT"/>
              </w:rPr>
              <w:t>–</w:t>
            </w:r>
          </w:p>
        </w:tc>
      </w:tr>
    </w:tbl>
    <w:p w14:paraId="447EEAE5" w14:textId="77777777" w:rsidR="005A7619" w:rsidRDefault="005A7619" w:rsidP="005A7619">
      <w:pPr>
        <w:rPr>
          <w:szCs w:val="24"/>
        </w:rPr>
      </w:pPr>
    </w:p>
    <w:p w14:paraId="54062529" w14:textId="77777777" w:rsidR="005A7619" w:rsidRDefault="005A7619" w:rsidP="00331EA5">
      <w:pPr>
        <w:ind w:firstLine="709"/>
        <w:jc w:val="both"/>
      </w:pPr>
      <w:r>
        <w:t>6. Mokestis nustatomas sumuojant mokesčius už kiekvienos ašies didžiausiosios leidžiamosios ašies (ašių) apkrovos viršijimą.</w:t>
      </w:r>
    </w:p>
    <w:p w14:paraId="0ACC8B29" w14:textId="77777777" w:rsidR="005A7619" w:rsidRDefault="005A7619" w:rsidP="00331EA5">
      <w:pPr>
        <w:ind w:firstLine="709"/>
        <w:jc w:val="both"/>
      </w:pPr>
      <w:r>
        <w:t>7. Kai viršijama didžiausioji leidžiamoji ašies (ašių) apkrova ir masė, nustatomas tas mokesčio dydis, kuris yra didesnis.</w:t>
      </w:r>
    </w:p>
    <w:p w14:paraId="640361A2" w14:textId="77777777" w:rsidR="005A7619" w:rsidRDefault="005A7619" w:rsidP="00331EA5">
      <w:pPr>
        <w:ind w:firstLine="709"/>
        <w:jc w:val="both"/>
        <w:rPr>
          <w:bCs/>
          <w:shd w:val="clear" w:color="auto" w:fill="FFFFFF"/>
        </w:rPr>
      </w:pPr>
      <w:r>
        <w:rPr>
          <w:bCs/>
          <w:shd w:val="clear" w:color="auto" w:fill="FFFFFF"/>
        </w:rPr>
        <w:t xml:space="preserve">8. Mokesčio už naudojimąsi </w:t>
      </w:r>
      <w:r>
        <w:rPr>
          <w:bCs/>
        </w:rPr>
        <w:t>Savivaldybės vietinės reikšmės viešaisiais</w:t>
      </w:r>
      <w:r>
        <w:rPr>
          <w:bCs/>
          <w:shd w:val="clear" w:color="auto" w:fill="FFFFFF"/>
        </w:rPr>
        <w:t xml:space="preserve"> keliais važiuojant sunkiasvorėmis motorinėmis transporto priemonėmis, kurių masė su kroviniu ar be jo yra didesnė už didžiausiąją leidžiamą naudojantis keliais transporto priemonės ar jų junginių masę (40 t, o vežant 20, 30, 40, 45 pėdų konteinerius, pagamintus pagal ISO standartus, –  44 t) (toliau – didžiausioji leidžiamoji masė), tarifai:</w:t>
      </w:r>
    </w:p>
    <w:p w14:paraId="70C57777" w14:textId="77777777" w:rsidR="005A7619" w:rsidRDefault="005A7619" w:rsidP="005A7619">
      <w:pPr>
        <w:rPr>
          <w:szCs w:val="24"/>
        </w:rPr>
      </w:pPr>
    </w:p>
    <w:tbl>
      <w:tblPr>
        <w:tblpPr w:leftFromText="180" w:rightFromText="180" w:vertAnchor="text" w:horzAnchor="margin" w:tblpY="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10"/>
        <w:gridCol w:w="3210"/>
        <w:gridCol w:w="3208"/>
      </w:tblGrid>
      <w:tr w:rsidR="005A7619" w14:paraId="05763DEC" w14:textId="77777777" w:rsidTr="00493536">
        <w:tc>
          <w:tcPr>
            <w:tcW w:w="1667" w:type="pct"/>
            <w:shd w:val="clear" w:color="auto" w:fill="FFFFFF"/>
            <w:tcMar>
              <w:top w:w="0" w:type="dxa"/>
              <w:left w:w="108" w:type="dxa"/>
              <w:bottom w:w="0" w:type="dxa"/>
              <w:right w:w="108" w:type="dxa"/>
            </w:tcMar>
            <w:vAlign w:val="center"/>
          </w:tcPr>
          <w:p w14:paraId="6284F47C" w14:textId="77777777" w:rsidR="005A7619" w:rsidRDefault="005A7619" w:rsidP="00493536">
            <w:pPr>
              <w:jc w:val="center"/>
              <w:rPr>
                <w:b/>
                <w:szCs w:val="24"/>
                <w:lang w:eastAsia="lt-LT"/>
              </w:rPr>
            </w:pPr>
            <w:r>
              <w:rPr>
                <w:b/>
                <w:szCs w:val="24"/>
                <w:lang w:eastAsia="lt-LT"/>
              </w:rPr>
              <w:t>Didžiausioji leidžiamoji masė viršyta, t</w:t>
            </w:r>
          </w:p>
        </w:tc>
        <w:tc>
          <w:tcPr>
            <w:tcW w:w="1667" w:type="pct"/>
            <w:shd w:val="clear" w:color="auto" w:fill="FFFFFF"/>
            <w:tcMar>
              <w:top w:w="0" w:type="dxa"/>
              <w:left w:w="108" w:type="dxa"/>
              <w:bottom w:w="0" w:type="dxa"/>
              <w:right w:w="108" w:type="dxa"/>
            </w:tcMar>
            <w:vAlign w:val="center"/>
          </w:tcPr>
          <w:p w14:paraId="21A41463" w14:textId="77777777" w:rsidR="005A7619" w:rsidRDefault="005A7619" w:rsidP="00493536">
            <w:pPr>
              <w:jc w:val="center"/>
              <w:rPr>
                <w:b/>
                <w:szCs w:val="24"/>
                <w:lang w:eastAsia="lt-LT"/>
              </w:rPr>
            </w:pPr>
            <w:r>
              <w:rPr>
                <w:b/>
                <w:szCs w:val="24"/>
                <w:lang w:eastAsia="lt-LT"/>
              </w:rPr>
              <w:t>Vienkartiniai tarifai už kiekvieną viršytą toną,</w:t>
            </w:r>
            <w:r>
              <w:rPr>
                <w:b/>
                <w:szCs w:val="24"/>
                <w:lang w:eastAsia="lt-LT"/>
              </w:rPr>
              <w:br/>
              <w:t>eurais už 10 km</w:t>
            </w:r>
          </w:p>
        </w:tc>
        <w:tc>
          <w:tcPr>
            <w:tcW w:w="1666" w:type="pct"/>
            <w:shd w:val="clear" w:color="auto" w:fill="FFFFFF"/>
            <w:tcMar>
              <w:top w:w="0" w:type="dxa"/>
              <w:left w:w="108" w:type="dxa"/>
              <w:bottom w:w="0" w:type="dxa"/>
              <w:right w:w="108" w:type="dxa"/>
            </w:tcMar>
            <w:vAlign w:val="center"/>
          </w:tcPr>
          <w:p w14:paraId="2EAEDD8D" w14:textId="77777777" w:rsidR="005A7619" w:rsidRDefault="005A7619" w:rsidP="00493536">
            <w:pPr>
              <w:jc w:val="center"/>
              <w:rPr>
                <w:b/>
                <w:szCs w:val="24"/>
                <w:lang w:eastAsia="lt-LT"/>
              </w:rPr>
            </w:pPr>
            <w:r>
              <w:rPr>
                <w:b/>
                <w:szCs w:val="24"/>
                <w:lang w:eastAsia="lt-LT"/>
              </w:rPr>
              <w:t>Mėnesio tarifai, eurais (šalies teritorijoje)*</w:t>
            </w:r>
          </w:p>
        </w:tc>
      </w:tr>
      <w:tr w:rsidR="005A7619" w14:paraId="15BF5381" w14:textId="77777777" w:rsidTr="00493536">
        <w:tc>
          <w:tcPr>
            <w:tcW w:w="1667" w:type="pct"/>
            <w:shd w:val="clear" w:color="auto" w:fill="FFFFFF"/>
            <w:tcMar>
              <w:top w:w="0" w:type="dxa"/>
              <w:left w:w="108" w:type="dxa"/>
              <w:bottom w:w="0" w:type="dxa"/>
              <w:right w:w="108" w:type="dxa"/>
            </w:tcMar>
          </w:tcPr>
          <w:p w14:paraId="24323617" w14:textId="77777777" w:rsidR="005A7619" w:rsidRDefault="005A7619" w:rsidP="00493536">
            <w:pPr>
              <w:ind w:firstLine="1247"/>
              <w:rPr>
                <w:szCs w:val="24"/>
                <w:lang w:eastAsia="lt-LT"/>
              </w:rPr>
            </w:pPr>
            <w:r>
              <w:rPr>
                <w:szCs w:val="24"/>
                <w:lang w:eastAsia="lt-LT"/>
              </w:rPr>
              <w:t>1,0–20,0</w:t>
            </w:r>
          </w:p>
        </w:tc>
        <w:tc>
          <w:tcPr>
            <w:tcW w:w="1667" w:type="pct"/>
            <w:shd w:val="clear" w:color="auto" w:fill="FFFFFF"/>
            <w:tcMar>
              <w:top w:w="0" w:type="dxa"/>
              <w:left w:w="108" w:type="dxa"/>
              <w:bottom w:w="0" w:type="dxa"/>
              <w:right w:w="108" w:type="dxa"/>
            </w:tcMar>
          </w:tcPr>
          <w:p w14:paraId="3551E267" w14:textId="77777777" w:rsidR="005A7619" w:rsidRDefault="005A7619" w:rsidP="00493536">
            <w:pPr>
              <w:ind w:firstLine="1247"/>
              <w:rPr>
                <w:szCs w:val="24"/>
                <w:lang w:eastAsia="lt-LT"/>
              </w:rPr>
            </w:pPr>
            <w:r>
              <w:rPr>
                <w:szCs w:val="24"/>
                <w:lang w:eastAsia="lt-LT"/>
              </w:rPr>
              <w:t>1,16</w:t>
            </w:r>
          </w:p>
        </w:tc>
        <w:tc>
          <w:tcPr>
            <w:tcW w:w="1666" w:type="pct"/>
            <w:shd w:val="clear" w:color="auto" w:fill="FFFFFF"/>
            <w:tcMar>
              <w:top w:w="0" w:type="dxa"/>
              <w:left w:w="108" w:type="dxa"/>
              <w:bottom w:w="0" w:type="dxa"/>
              <w:right w:w="108" w:type="dxa"/>
            </w:tcMar>
          </w:tcPr>
          <w:p w14:paraId="21675F4A" w14:textId="77777777" w:rsidR="005A7619" w:rsidRDefault="005A7619" w:rsidP="00493536">
            <w:pPr>
              <w:ind w:firstLine="1247"/>
              <w:rPr>
                <w:szCs w:val="24"/>
                <w:lang w:eastAsia="lt-LT"/>
              </w:rPr>
            </w:pPr>
            <w:r>
              <w:rPr>
                <w:szCs w:val="24"/>
                <w:lang w:eastAsia="lt-LT"/>
              </w:rPr>
              <w:t>144</w:t>
            </w:r>
          </w:p>
        </w:tc>
      </w:tr>
      <w:tr w:rsidR="005A7619" w14:paraId="72A77736" w14:textId="77777777" w:rsidTr="00493536">
        <w:tc>
          <w:tcPr>
            <w:tcW w:w="1667" w:type="pct"/>
            <w:shd w:val="clear" w:color="auto" w:fill="FFFFFF"/>
            <w:tcMar>
              <w:top w:w="0" w:type="dxa"/>
              <w:left w:w="108" w:type="dxa"/>
              <w:bottom w:w="0" w:type="dxa"/>
              <w:right w:w="108" w:type="dxa"/>
            </w:tcMar>
          </w:tcPr>
          <w:p w14:paraId="67F3497D" w14:textId="77777777" w:rsidR="005A7619" w:rsidRDefault="005A7619" w:rsidP="00493536">
            <w:pPr>
              <w:ind w:firstLine="1247"/>
              <w:rPr>
                <w:szCs w:val="24"/>
                <w:lang w:eastAsia="lt-LT"/>
              </w:rPr>
            </w:pPr>
            <w:r>
              <w:rPr>
                <w:szCs w:val="24"/>
                <w:lang w:eastAsia="lt-LT"/>
              </w:rPr>
              <w:t>21,0–40,0</w:t>
            </w:r>
          </w:p>
        </w:tc>
        <w:tc>
          <w:tcPr>
            <w:tcW w:w="1667" w:type="pct"/>
            <w:shd w:val="clear" w:color="auto" w:fill="FFFFFF"/>
            <w:tcMar>
              <w:top w:w="0" w:type="dxa"/>
              <w:left w:w="108" w:type="dxa"/>
              <w:bottom w:w="0" w:type="dxa"/>
              <w:right w:w="108" w:type="dxa"/>
            </w:tcMar>
          </w:tcPr>
          <w:p w14:paraId="7B572124" w14:textId="77777777" w:rsidR="005A7619" w:rsidRDefault="005A7619" w:rsidP="00493536">
            <w:pPr>
              <w:ind w:firstLine="1247"/>
              <w:rPr>
                <w:szCs w:val="24"/>
                <w:lang w:eastAsia="lt-LT"/>
              </w:rPr>
            </w:pPr>
            <w:r>
              <w:rPr>
                <w:szCs w:val="24"/>
                <w:lang w:eastAsia="lt-LT"/>
              </w:rPr>
              <w:t>1,37</w:t>
            </w:r>
          </w:p>
        </w:tc>
        <w:tc>
          <w:tcPr>
            <w:tcW w:w="1666" w:type="pct"/>
            <w:shd w:val="clear" w:color="auto" w:fill="FFFFFF"/>
            <w:tcMar>
              <w:top w:w="0" w:type="dxa"/>
              <w:left w:w="108" w:type="dxa"/>
              <w:bottom w:w="0" w:type="dxa"/>
              <w:right w:w="108" w:type="dxa"/>
            </w:tcMar>
          </w:tcPr>
          <w:p w14:paraId="589F4F06" w14:textId="77777777" w:rsidR="005A7619" w:rsidRDefault="005A7619" w:rsidP="00493536">
            <w:pPr>
              <w:ind w:firstLine="1247"/>
              <w:rPr>
                <w:szCs w:val="24"/>
                <w:lang w:eastAsia="lt-LT"/>
              </w:rPr>
            </w:pPr>
            <w:r>
              <w:rPr>
                <w:szCs w:val="24"/>
                <w:lang w:eastAsia="lt-LT"/>
              </w:rPr>
              <w:t>–</w:t>
            </w:r>
          </w:p>
        </w:tc>
      </w:tr>
      <w:tr w:rsidR="005A7619" w14:paraId="452C293A" w14:textId="77777777" w:rsidTr="00493536">
        <w:trPr>
          <w:trHeight w:val="85"/>
        </w:trPr>
        <w:tc>
          <w:tcPr>
            <w:tcW w:w="1667" w:type="pct"/>
            <w:shd w:val="clear" w:color="auto" w:fill="FFFFFF"/>
            <w:tcMar>
              <w:top w:w="0" w:type="dxa"/>
              <w:left w:w="108" w:type="dxa"/>
              <w:bottom w:w="0" w:type="dxa"/>
              <w:right w:w="108" w:type="dxa"/>
            </w:tcMar>
          </w:tcPr>
          <w:p w14:paraId="1D955140" w14:textId="77777777" w:rsidR="005A7619" w:rsidRDefault="005A7619" w:rsidP="00493536">
            <w:pPr>
              <w:ind w:firstLine="1247"/>
              <w:rPr>
                <w:szCs w:val="24"/>
                <w:lang w:eastAsia="lt-LT"/>
              </w:rPr>
            </w:pPr>
            <w:r>
              <w:rPr>
                <w:szCs w:val="24"/>
                <w:lang w:eastAsia="lt-LT"/>
              </w:rPr>
              <w:t>&gt; 40</w:t>
            </w:r>
          </w:p>
        </w:tc>
        <w:tc>
          <w:tcPr>
            <w:tcW w:w="1667" w:type="pct"/>
            <w:shd w:val="clear" w:color="auto" w:fill="FFFFFF"/>
            <w:tcMar>
              <w:top w:w="0" w:type="dxa"/>
              <w:left w:w="108" w:type="dxa"/>
              <w:bottom w:w="0" w:type="dxa"/>
              <w:right w:w="108" w:type="dxa"/>
            </w:tcMar>
          </w:tcPr>
          <w:p w14:paraId="045AB6D5" w14:textId="77777777" w:rsidR="005A7619" w:rsidRDefault="005A7619" w:rsidP="00493536">
            <w:pPr>
              <w:ind w:firstLine="1247"/>
              <w:rPr>
                <w:szCs w:val="24"/>
                <w:lang w:eastAsia="lt-LT"/>
              </w:rPr>
            </w:pPr>
            <w:r>
              <w:rPr>
                <w:szCs w:val="24"/>
                <w:lang w:eastAsia="lt-LT"/>
              </w:rPr>
              <w:t>1,74</w:t>
            </w:r>
          </w:p>
        </w:tc>
        <w:tc>
          <w:tcPr>
            <w:tcW w:w="1666" w:type="pct"/>
            <w:shd w:val="clear" w:color="auto" w:fill="FFFFFF"/>
            <w:tcMar>
              <w:top w:w="0" w:type="dxa"/>
              <w:left w:w="108" w:type="dxa"/>
              <w:bottom w:w="0" w:type="dxa"/>
              <w:right w:w="108" w:type="dxa"/>
            </w:tcMar>
          </w:tcPr>
          <w:p w14:paraId="2724ADCC" w14:textId="77777777" w:rsidR="005A7619" w:rsidRDefault="005A7619" w:rsidP="00493536">
            <w:pPr>
              <w:ind w:firstLine="1247"/>
              <w:rPr>
                <w:szCs w:val="24"/>
                <w:lang w:eastAsia="lt-LT"/>
              </w:rPr>
            </w:pPr>
            <w:r>
              <w:rPr>
                <w:szCs w:val="24"/>
                <w:lang w:eastAsia="lt-LT"/>
              </w:rPr>
              <w:t>–</w:t>
            </w:r>
          </w:p>
        </w:tc>
      </w:tr>
    </w:tbl>
    <w:p w14:paraId="4A365FCD" w14:textId="77777777" w:rsidR="005A7619" w:rsidRDefault="005A7619" w:rsidP="005A7619">
      <w:pPr>
        <w:rPr>
          <w:szCs w:val="24"/>
        </w:rPr>
      </w:pPr>
    </w:p>
    <w:p w14:paraId="23060B20" w14:textId="77777777" w:rsidR="005A7619" w:rsidRDefault="005A7619" w:rsidP="005A7619">
      <w:pPr>
        <w:shd w:val="clear" w:color="auto" w:fill="FFFFFF"/>
        <w:ind w:firstLine="720"/>
        <w:jc w:val="both"/>
        <w:rPr>
          <w:color w:val="000000"/>
          <w:szCs w:val="24"/>
          <w:lang w:eastAsia="lt-LT"/>
        </w:rPr>
      </w:pPr>
      <w:r>
        <w:rPr>
          <w:color w:val="000000"/>
          <w:szCs w:val="24"/>
          <w:shd w:val="clear" w:color="auto" w:fill="FFFFFF"/>
        </w:rPr>
        <w:t>*Taikoma šešių ar daugiau ašių transporto priemonėms, kurias sudaro motorinė transporto priemonė su suporintais galiniais ratais ir priekaba (puspriekabė) su suporintais ratais ir kurių ašies (ašių) apkrova yra ne didesnė už didžiausiąją leidžiamąją ašies (ašių) apkrovą, bendroji masė yra didesnė už didžiausiąją leidžiamąją bendrąją masę ir yra ne didesnė kaip 48 t.</w:t>
      </w:r>
    </w:p>
    <w:p w14:paraId="39E58153" w14:textId="77777777" w:rsidR="005A7619" w:rsidRDefault="005A7619" w:rsidP="005A7619">
      <w:pPr>
        <w:ind w:firstLine="720"/>
        <w:jc w:val="both"/>
        <w:rPr>
          <w:color w:val="000000"/>
          <w:szCs w:val="24"/>
          <w:shd w:val="clear" w:color="auto" w:fill="FFFFFF"/>
        </w:rPr>
      </w:pPr>
      <w:r>
        <w:rPr>
          <w:color w:val="000000"/>
          <w:szCs w:val="24"/>
          <w:shd w:val="clear" w:color="auto" w:fill="FFFFFF"/>
        </w:rPr>
        <w:t xml:space="preserve">9. Mokesčio už naudojimąsi </w:t>
      </w:r>
      <w:r>
        <w:t>Savivaldybės vietinės reikšmės viešaisiais keliais</w:t>
      </w:r>
      <w:r>
        <w:rPr>
          <w:color w:val="000000"/>
          <w:szCs w:val="24"/>
          <w:shd w:val="clear" w:color="auto" w:fill="FFFFFF"/>
        </w:rPr>
        <w:t xml:space="preserve"> važiuojant sunkiasvoriais traktoriais ir savaeigėmis mašinomis ar jų junginiais, kurių masė su kroviniu ar be jo yra didesnė už didžiausiąją leidžiamąją masę, tarifai:</w:t>
      </w:r>
    </w:p>
    <w:p w14:paraId="349F178F" w14:textId="77777777" w:rsidR="005A7619" w:rsidRDefault="005A7619" w:rsidP="005A7619">
      <w:pPr>
        <w:rPr>
          <w:szCs w:val="24"/>
        </w:rPr>
      </w:pPr>
    </w:p>
    <w:tbl>
      <w:tblPr>
        <w:tblpPr w:leftFromText="180" w:rightFromText="18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664"/>
        <w:gridCol w:w="5964"/>
      </w:tblGrid>
      <w:tr w:rsidR="005A7619" w14:paraId="17B0E4CB" w14:textId="77777777" w:rsidTr="00493536">
        <w:tc>
          <w:tcPr>
            <w:tcW w:w="1903" w:type="pct"/>
            <w:shd w:val="clear" w:color="auto" w:fill="FFFFFF"/>
            <w:tcMar>
              <w:top w:w="0" w:type="dxa"/>
              <w:left w:w="108" w:type="dxa"/>
              <w:bottom w:w="0" w:type="dxa"/>
              <w:right w:w="108" w:type="dxa"/>
            </w:tcMar>
          </w:tcPr>
          <w:p w14:paraId="56578A96" w14:textId="77777777" w:rsidR="005A7619" w:rsidRDefault="005A7619" w:rsidP="00493536">
            <w:pPr>
              <w:jc w:val="center"/>
              <w:rPr>
                <w:b/>
                <w:szCs w:val="24"/>
                <w:lang w:eastAsia="lt-LT"/>
              </w:rPr>
            </w:pPr>
            <w:r>
              <w:rPr>
                <w:b/>
                <w:szCs w:val="24"/>
                <w:lang w:eastAsia="lt-LT"/>
              </w:rPr>
              <w:t>Didžiausioji leidžiamoji masė viršyta, t</w:t>
            </w:r>
          </w:p>
        </w:tc>
        <w:tc>
          <w:tcPr>
            <w:tcW w:w="3097" w:type="pct"/>
            <w:shd w:val="clear" w:color="auto" w:fill="FFFFFF"/>
            <w:tcMar>
              <w:top w:w="0" w:type="dxa"/>
              <w:left w:w="108" w:type="dxa"/>
              <w:bottom w:w="0" w:type="dxa"/>
              <w:right w:w="108" w:type="dxa"/>
            </w:tcMar>
          </w:tcPr>
          <w:p w14:paraId="776C7AD3" w14:textId="77777777" w:rsidR="005A7619" w:rsidRDefault="005A7619" w:rsidP="00493536">
            <w:pPr>
              <w:jc w:val="center"/>
              <w:rPr>
                <w:b/>
                <w:szCs w:val="24"/>
                <w:lang w:eastAsia="lt-LT"/>
              </w:rPr>
            </w:pPr>
            <w:r>
              <w:rPr>
                <w:b/>
                <w:szCs w:val="24"/>
                <w:lang w:eastAsia="lt-LT"/>
              </w:rPr>
              <w:t>Vienkartiniai tarifai už kiekvieną viršytą toną,</w:t>
            </w:r>
            <w:r>
              <w:rPr>
                <w:b/>
                <w:szCs w:val="24"/>
                <w:lang w:eastAsia="lt-LT"/>
              </w:rPr>
              <w:br/>
              <w:t>eurais už 10 km</w:t>
            </w:r>
          </w:p>
        </w:tc>
      </w:tr>
      <w:tr w:rsidR="005A7619" w14:paraId="1ADC6B2A" w14:textId="77777777" w:rsidTr="00493536">
        <w:tc>
          <w:tcPr>
            <w:tcW w:w="1903" w:type="pct"/>
            <w:shd w:val="clear" w:color="auto" w:fill="FFFFFF"/>
            <w:tcMar>
              <w:top w:w="0" w:type="dxa"/>
              <w:left w:w="108" w:type="dxa"/>
              <w:bottom w:w="0" w:type="dxa"/>
              <w:right w:w="108" w:type="dxa"/>
            </w:tcMar>
            <w:vAlign w:val="center"/>
          </w:tcPr>
          <w:p w14:paraId="78460833" w14:textId="77777777" w:rsidR="005A7619" w:rsidRDefault="005A7619" w:rsidP="00493536">
            <w:pPr>
              <w:jc w:val="center"/>
              <w:rPr>
                <w:szCs w:val="24"/>
                <w:lang w:eastAsia="lt-LT"/>
              </w:rPr>
            </w:pPr>
            <w:r>
              <w:rPr>
                <w:szCs w:val="24"/>
                <w:lang w:eastAsia="lt-LT"/>
              </w:rPr>
              <w:t>1,0–20,0</w:t>
            </w:r>
          </w:p>
        </w:tc>
        <w:tc>
          <w:tcPr>
            <w:tcW w:w="3097" w:type="pct"/>
            <w:shd w:val="clear" w:color="auto" w:fill="FFFFFF"/>
            <w:tcMar>
              <w:top w:w="0" w:type="dxa"/>
              <w:left w:w="108" w:type="dxa"/>
              <w:bottom w:w="0" w:type="dxa"/>
              <w:right w:w="108" w:type="dxa"/>
            </w:tcMar>
            <w:vAlign w:val="bottom"/>
          </w:tcPr>
          <w:p w14:paraId="31B57F2B" w14:textId="77777777" w:rsidR="005A7619" w:rsidRDefault="005A7619" w:rsidP="00493536">
            <w:pPr>
              <w:jc w:val="center"/>
              <w:rPr>
                <w:color w:val="000000"/>
                <w:szCs w:val="24"/>
              </w:rPr>
            </w:pPr>
            <w:r>
              <w:rPr>
                <w:color w:val="000000"/>
                <w:szCs w:val="24"/>
              </w:rPr>
              <w:t>0,17</w:t>
            </w:r>
          </w:p>
        </w:tc>
      </w:tr>
      <w:tr w:rsidR="005A7619" w14:paraId="14EBCAFC" w14:textId="77777777" w:rsidTr="00493536">
        <w:tc>
          <w:tcPr>
            <w:tcW w:w="1903" w:type="pct"/>
            <w:shd w:val="clear" w:color="auto" w:fill="FFFFFF"/>
            <w:tcMar>
              <w:top w:w="0" w:type="dxa"/>
              <w:left w:w="108" w:type="dxa"/>
              <w:bottom w:w="0" w:type="dxa"/>
              <w:right w:w="108" w:type="dxa"/>
            </w:tcMar>
            <w:vAlign w:val="center"/>
          </w:tcPr>
          <w:p w14:paraId="1507FC3B" w14:textId="77777777" w:rsidR="005A7619" w:rsidRDefault="005A7619" w:rsidP="00493536">
            <w:pPr>
              <w:jc w:val="center"/>
              <w:rPr>
                <w:szCs w:val="24"/>
                <w:lang w:eastAsia="lt-LT"/>
              </w:rPr>
            </w:pPr>
            <w:r>
              <w:rPr>
                <w:szCs w:val="24"/>
                <w:lang w:eastAsia="lt-LT"/>
              </w:rPr>
              <w:t>21,0–40,0</w:t>
            </w:r>
          </w:p>
        </w:tc>
        <w:tc>
          <w:tcPr>
            <w:tcW w:w="3097" w:type="pct"/>
            <w:shd w:val="clear" w:color="auto" w:fill="FFFFFF"/>
            <w:tcMar>
              <w:top w:w="0" w:type="dxa"/>
              <w:left w:w="108" w:type="dxa"/>
              <w:bottom w:w="0" w:type="dxa"/>
              <w:right w:w="108" w:type="dxa"/>
            </w:tcMar>
            <w:vAlign w:val="bottom"/>
          </w:tcPr>
          <w:p w14:paraId="6E643255" w14:textId="77777777" w:rsidR="005A7619" w:rsidRDefault="005A7619" w:rsidP="00493536">
            <w:pPr>
              <w:jc w:val="center"/>
              <w:rPr>
                <w:color w:val="000000"/>
                <w:szCs w:val="24"/>
              </w:rPr>
            </w:pPr>
            <w:r>
              <w:rPr>
                <w:color w:val="000000"/>
                <w:szCs w:val="24"/>
              </w:rPr>
              <w:t>0,24</w:t>
            </w:r>
          </w:p>
        </w:tc>
      </w:tr>
      <w:tr w:rsidR="005A7619" w14:paraId="28D6AAFA" w14:textId="77777777" w:rsidTr="00493536">
        <w:tc>
          <w:tcPr>
            <w:tcW w:w="1903" w:type="pct"/>
            <w:shd w:val="clear" w:color="auto" w:fill="FFFFFF"/>
            <w:tcMar>
              <w:top w:w="0" w:type="dxa"/>
              <w:left w:w="108" w:type="dxa"/>
              <w:bottom w:w="0" w:type="dxa"/>
              <w:right w:w="108" w:type="dxa"/>
            </w:tcMar>
            <w:vAlign w:val="center"/>
          </w:tcPr>
          <w:p w14:paraId="34D6F2CD" w14:textId="77777777" w:rsidR="005A7619" w:rsidRDefault="005A7619" w:rsidP="00493536">
            <w:pPr>
              <w:jc w:val="center"/>
              <w:rPr>
                <w:szCs w:val="24"/>
                <w:lang w:eastAsia="lt-LT"/>
              </w:rPr>
            </w:pPr>
            <w:r>
              <w:rPr>
                <w:szCs w:val="24"/>
                <w:lang w:eastAsia="lt-LT"/>
              </w:rPr>
              <w:t>&gt; 40</w:t>
            </w:r>
          </w:p>
        </w:tc>
        <w:tc>
          <w:tcPr>
            <w:tcW w:w="3097" w:type="pct"/>
            <w:shd w:val="clear" w:color="auto" w:fill="FFFFFF"/>
            <w:tcMar>
              <w:top w:w="0" w:type="dxa"/>
              <w:left w:w="108" w:type="dxa"/>
              <w:bottom w:w="0" w:type="dxa"/>
              <w:right w:w="108" w:type="dxa"/>
            </w:tcMar>
            <w:vAlign w:val="bottom"/>
          </w:tcPr>
          <w:p w14:paraId="352D605D" w14:textId="77777777" w:rsidR="005A7619" w:rsidRDefault="005A7619" w:rsidP="00493536">
            <w:pPr>
              <w:jc w:val="center"/>
              <w:rPr>
                <w:color w:val="000000"/>
                <w:szCs w:val="24"/>
              </w:rPr>
            </w:pPr>
            <w:r>
              <w:rPr>
                <w:color w:val="000000"/>
                <w:szCs w:val="24"/>
              </w:rPr>
              <w:t>0,35</w:t>
            </w:r>
          </w:p>
        </w:tc>
      </w:tr>
    </w:tbl>
    <w:p w14:paraId="4E69EE78" w14:textId="77777777" w:rsidR="005A7619" w:rsidRDefault="005A7619" w:rsidP="005A7619">
      <w:pPr>
        <w:ind w:firstLine="720"/>
        <w:jc w:val="both"/>
        <w:rPr>
          <w:color w:val="000000"/>
          <w:szCs w:val="24"/>
        </w:rPr>
      </w:pPr>
      <w:r>
        <w:rPr>
          <w:color w:val="000000"/>
          <w:szCs w:val="24"/>
          <w:shd w:val="clear" w:color="auto" w:fill="FFFFFF"/>
        </w:rPr>
        <w:t>10. Kai viršijama didžiausioji leidžiamoji ašies (ašių) apkrova ir masė, nustatomas tas mokesčio dydis, kuris yra didesnis.</w:t>
      </w:r>
    </w:p>
    <w:p w14:paraId="36DB0E97" w14:textId="61838447" w:rsidR="005A7619" w:rsidRPr="00331EA5" w:rsidRDefault="005A7619" w:rsidP="00331EA5">
      <w:pPr>
        <w:jc w:val="center"/>
        <w:rPr>
          <w:szCs w:val="24"/>
        </w:rPr>
      </w:pPr>
      <w:r>
        <w:rPr>
          <w:szCs w:val="24"/>
        </w:rPr>
        <w:t>________________</w:t>
      </w:r>
    </w:p>
    <w:sectPr w:rsidR="005A7619" w:rsidRPr="00331EA5" w:rsidSect="00331EA5">
      <w:type w:val="continuous"/>
      <w:pgSz w:w="11906" w:h="16838" w:code="9"/>
      <w:pgMar w:top="709"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DBAF6" w14:textId="77777777" w:rsidR="00125BFB" w:rsidRDefault="00125BFB">
      <w:r>
        <w:separator/>
      </w:r>
    </w:p>
  </w:endnote>
  <w:endnote w:type="continuationSeparator" w:id="0">
    <w:p w14:paraId="19465552" w14:textId="77777777" w:rsidR="00125BFB" w:rsidRDefault="0012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FF6A1" w14:textId="77777777" w:rsidR="00125BFB" w:rsidRDefault="00125BFB">
      <w:r>
        <w:separator/>
      </w:r>
    </w:p>
  </w:footnote>
  <w:footnote w:type="continuationSeparator" w:id="0">
    <w:p w14:paraId="4B56C1DF" w14:textId="77777777" w:rsidR="00125BFB" w:rsidRDefault="00125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16cid:durableId="515388170">
    <w:abstractNumId w:val="1"/>
  </w:num>
  <w:num w:numId="2" w16cid:durableId="93960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40B00"/>
    <w:rsid w:val="0004128C"/>
    <w:rsid w:val="000F3306"/>
    <w:rsid w:val="00115BB5"/>
    <w:rsid w:val="00125BFB"/>
    <w:rsid w:val="0017220A"/>
    <w:rsid w:val="00175755"/>
    <w:rsid w:val="001B7236"/>
    <w:rsid w:val="001C1C04"/>
    <w:rsid w:val="00212167"/>
    <w:rsid w:val="00291976"/>
    <w:rsid w:val="00331EA5"/>
    <w:rsid w:val="003B5018"/>
    <w:rsid w:val="004621A9"/>
    <w:rsid w:val="00493536"/>
    <w:rsid w:val="0050526C"/>
    <w:rsid w:val="005A7619"/>
    <w:rsid w:val="007C70E6"/>
    <w:rsid w:val="00A143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27E68"/>
  <w15:chartTrackingRefBased/>
  <w15:docId w15:val="{44261B9F-07B2-4971-9DA5-705ADA13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link w:val="Antrat1Diagrama"/>
    <w:uiPriority w:val="99"/>
    <w:qFormat/>
    <w:pPr>
      <w:keepNext/>
      <w:jc w:val="center"/>
      <w:outlineLvl w:val="0"/>
    </w:pPr>
    <w:rPr>
      <w:b/>
      <w:bCs/>
      <w:caps/>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Pr>
      <w:rFonts w:ascii="Tahoma" w:hAnsi="Tahoma" w:cs="Tahoma"/>
      <w:sz w:val="16"/>
      <w:szCs w:val="16"/>
    </w:rPr>
  </w:style>
  <w:style w:type="paragraph" w:styleId="Pagrindinistekstas">
    <w:name w:val="Body Text"/>
    <w:basedOn w:val="prastasis"/>
    <w:pPr>
      <w:jc w:val="both"/>
    </w:pPr>
  </w:style>
  <w:style w:type="paragraph" w:customStyle="1" w:styleId="Bodytext">
    <w:name w:val="Body text"/>
    <w:pPr>
      <w:ind w:firstLine="312"/>
      <w:jc w:val="both"/>
    </w:pPr>
    <w:rPr>
      <w:rFonts w:ascii="TimesLT" w:hAnsi="TimesLT"/>
      <w:snapToGrid w:val="0"/>
      <w:lang w:val="en-US" w:eastAsia="en-US"/>
    </w:rPr>
  </w:style>
  <w:style w:type="character" w:customStyle="1" w:styleId="AntratsDiagrama">
    <w:name w:val="Antraštės Diagrama"/>
    <w:link w:val="Antrats"/>
    <w:uiPriority w:val="99"/>
    <w:rPr>
      <w:sz w:val="24"/>
      <w:lang w:val="lt-LT" w:eastAsia="en-US" w:bidi="ar-SA"/>
    </w:rPr>
  </w:style>
  <w:style w:type="paragraph" w:styleId="Pagrindiniotekstotrauka">
    <w:name w:val="Body Text Indent"/>
    <w:basedOn w:val="prastasis"/>
    <w:link w:val="PagrindiniotekstotraukaDiagrama"/>
    <w:pPr>
      <w:spacing w:after="120"/>
      <w:ind w:left="283"/>
    </w:pPr>
    <w:rPr>
      <w:lang w:eastAsia="x-none"/>
    </w:rPr>
  </w:style>
  <w:style w:type="character" w:customStyle="1" w:styleId="PagrindiniotekstotraukaDiagrama">
    <w:name w:val="Pagrindinio teksto įtrauka Diagrama"/>
    <w:link w:val="Pagrindiniotekstotrauka"/>
    <w:rPr>
      <w:sz w:val="24"/>
      <w:lang w:val="lt-LT"/>
    </w:rPr>
  </w:style>
  <w:style w:type="paragraph" w:customStyle="1" w:styleId="Sraopastraipa1">
    <w:name w:val="Sąrašo pastraipa1"/>
    <w:basedOn w:val="prastasis"/>
    <w:uiPriority w:val="34"/>
    <w:qFormat/>
    <w:pPr>
      <w:ind w:left="720"/>
    </w:pPr>
  </w:style>
  <w:style w:type="paragraph" w:customStyle="1" w:styleId="ISTATYMAS">
    <w:name w:val="ISTATYMAS"/>
    <w:basedOn w:val="prastasis"/>
    <w:link w:val="ISTATYMASChar"/>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Pr>
      <w:color w:val="000000"/>
      <w:lang w:val="en-GB"/>
    </w:rPr>
  </w:style>
  <w:style w:type="character" w:customStyle="1" w:styleId="antr">
    <w:name w:val="antr"/>
    <w:rPr>
      <w:rFonts w:ascii="Times New Roman" w:hAnsi="Times New Roman" w:cs="Times New Roman"/>
      <w:b/>
      <w:caps/>
      <w:sz w:val="24"/>
    </w:rPr>
  </w:style>
  <w:style w:type="character" w:customStyle="1" w:styleId="Antrat1Diagrama">
    <w:name w:val="Antraštė 1 Diagrama"/>
    <w:link w:val="Antrat1"/>
    <w:uiPriority w:val="99"/>
    <w:locked/>
    <w:rsid w:val="005A7619"/>
    <w:rPr>
      <w:b/>
      <w:bCs/>
      <w:caps/>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3030</Words>
  <Characters>1728</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Asta Pagojienė</cp:lastModifiedBy>
  <cp:revision>3</cp:revision>
  <cp:lastPrinted>2014-10-07T12:04:00Z</cp:lastPrinted>
  <dcterms:created xsi:type="dcterms:W3CDTF">2022-05-10T12:53:00Z</dcterms:created>
  <dcterms:modified xsi:type="dcterms:W3CDTF">2022-05-10T13:04:00Z</dcterms:modified>
</cp:coreProperties>
</file>